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F88D5C" w14:textId="77777777" w:rsidR="001A4680" w:rsidRDefault="001A4680" w:rsidP="001A4680">
      <w:pPr>
        <w:spacing w:after="0"/>
        <w:rPr>
          <w:rFonts w:ascii="Arial" w:hAnsi="Arial" w:cs="Arial"/>
        </w:rPr>
      </w:pPr>
    </w:p>
    <w:p w14:paraId="5AA3EEAD" w14:textId="77777777" w:rsidR="00670A05" w:rsidRPr="0085320C" w:rsidRDefault="00670A05" w:rsidP="00670A05">
      <w:pPr>
        <w:spacing w:line="360" w:lineRule="auto"/>
        <w:ind w:right="3876"/>
        <w:rPr>
          <w:rFonts w:ascii="Arial" w:hAnsi="Arial" w:cs="Arial"/>
          <w:b/>
          <w:color w:val="000000" w:themeColor="text1"/>
        </w:rPr>
      </w:pPr>
    </w:p>
    <w:p w14:paraId="5E0837D1" w14:textId="77777777" w:rsidR="00670A05" w:rsidRPr="0085320C" w:rsidRDefault="00670A05" w:rsidP="00670A05">
      <w:pPr>
        <w:spacing w:line="360" w:lineRule="auto"/>
        <w:ind w:right="3876"/>
        <w:rPr>
          <w:rFonts w:ascii="Arial" w:hAnsi="Arial" w:cs="Arial"/>
          <w:b/>
          <w:color w:val="000000" w:themeColor="text1"/>
        </w:rPr>
      </w:pPr>
      <w:r w:rsidRPr="0085320C">
        <w:rPr>
          <w:rFonts w:ascii="Arial" w:hAnsi="Arial" w:cs="Arial"/>
          <w:b/>
          <w:color w:val="000000" w:themeColor="text1"/>
        </w:rPr>
        <w:t>H. CONGRESO DEL ESTADO DE YUCATÁN</w:t>
      </w:r>
    </w:p>
    <w:p w14:paraId="7C522603" w14:textId="77777777" w:rsidR="00670A05" w:rsidRPr="0085320C" w:rsidRDefault="00670A05" w:rsidP="00670A05">
      <w:pPr>
        <w:spacing w:line="360" w:lineRule="auto"/>
        <w:ind w:right="3876"/>
        <w:rPr>
          <w:rFonts w:ascii="Arial" w:hAnsi="Arial" w:cs="Arial"/>
          <w:b/>
          <w:color w:val="000000" w:themeColor="text1"/>
        </w:rPr>
      </w:pPr>
      <w:r w:rsidRPr="0085320C">
        <w:rPr>
          <w:rFonts w:ascii="Arial" w:hAnsi="Arial" w:cs="Arial"/>
          <w:b/>
          <w:color w:val="000000" w:themeColor="text1"/>
        </w:rPr>
        <w:t xml:space="preserve">DIP. </w:t>
      </w:r>
      <w:r w:rsidRPr="0085320C">
        <w:rPr>
          <w:rFonts w:ascii="Arial" w:hAnsi="Arial" w:cs="Arial"/>
          <w:b/>
          <w:bCs/>
          <w:color w:val="000000" w:themeColor="text1"/>
        </w:rPr>
        <w:t>MARIO ALEJANDRO CUEVAS MENA</w:t>
      </w:r>
    </w:p>
    <w:p w14:paraId="7689402A" w14:textId="77777777" w:rsidR="00670A05" w:rsidRPr="0085320C" w:rsidRDefault="00670A05" w:rsidP="00670A05">
      <w:pPr>
        <w:spacing w:line="360" w:lineRule="auto"/>
        <w:ind w:right="3593"/>
        <w:rPr>
          <w:rFonts w:ascii="Arial" w:hAnsi="Arial" w:cs="Arial"/>
          <w:b/>
          <w:color w:val="000000" w:themeColor="text1"/>
        </w:rPr>
      </w:pPr>
      <w:r w:rsidRPr="0085320C">
        <w:rPr>
          <w:rFonts w:ascii="Arial" w:hAnsi="Arial" w:cs="Arial"/>
          <w:b/>
          <w:color w:val="000000" w:themeColor="text1"/>
        </w:rPr>
        <w:t xml:space="preserve">PRESIDENTE DE LA LXIV LEGISLATURA DEL HONORABLE CONGRESO DEL ESTADO DE YUCATÁN. </w:t>
      </w:r>
    </w:p>
    <w:p w14:paraId="0A6F8DDD" w14:textId="77777777" w:rsidR="00670A05" w:rsidRPr="0085320C" w:rsidRDefault="00670A05" w:rsidP="00670A05">
      <w:pPr>
        <w:spacing w:line="360" w:lineRule="auto"/>
        <w:ind w:right="3593"/>
        <w:rPr>
          <w:rFonts w:ascii="Arial" w:hAnsi="Arial" w:cs="Arial"/>
          <w:b/>
          <w:color w:val="000000" w:themeColor="text1"/>
        </w:rPr>
      </w:pPr>
      <w:r w:rsidRPr="0085320C">
        <w:rPr>
          <w:rFonts w:ascii="Arial" w:hAnsi="Arial" w:cs="Arial"/>
          <w:b/>
          <w:color w:val="000000" w:themeColor="text1"/>
        </w:rPr>
        <w:t>PRESENTE.</w:t>
      </w:r>
    </w:p>
    <w:p w14:paraId="74A1FB79" w14:textId="77777777" w:rsidR="00670A05" w:rsidRPr="0085320C" w:rsidRDefault="00670A05" w:rsidP="00670A05">
      <w:pPr>
        <w:spacing w:line="360" w:lineRule="auto"/>
        <w:rPr>
          <w:rFonts w:ascii="Arial" w:hAnsi="Arial" w:cs="Arial"/>
          <w:color w:val="000000" w:themeColor="text1"/>
        </w:rPr>
      </w:pPr>
      <w:r>
        <w:rPr>
          <w:rFonts w:ascii="Arial" w:hAnsi="Arial" w:cs="Arial"/>
          <w:b/>
          <w:color w:val="000000" w:themeColor="text1"/>
        </w:rPr>
        <w:t xml:space="preserve">DANIEL ENRIQUE GONZÁLEZ QUINTAL, </w:t>
      </w:r>
      <w:r w:rsidRPr="00612720">
        <w:rPr>
          <w:rFonts w:ascii="Arial" w:hAnsi="Arial" w:cs="Arial"/>
          <w:color w:val="000000" w:themeColor="text1"/>
        </w:rPr>
        <w:t>Diputado de esta LXIV L</w:t>
      </w:r>
      <w:r>
        <w:rPr>
          <w:rFonts w:ascii="Arial" w:hAnsi="Arial" w:cs="Arial"/>
          <w:color w:val="000000" w:themeColor="text1"/>
        </w:rPr>
        <w:t>egislatura del E</w:t>
      </w:r>
      <w:r w:rsidRPr="00612720">
        <w:rPr>
          <w:rFonts w:ascii="Arial" w:hAnsi="Arial" w:cs="Arial"/>
          <w:color w:val="000000" w:themeColor="text1"/>
        </w:rPr>
        <w:t>stado de Yucatán</w:t>
      </w:r>
      <w:r>
        <w:rPr>
          <w:rFonts w:ascii="Arial" w:hAnsi="Arial" w:cs="Arial"/>
          <w:b/>
          <w:color w:val="000000" w:themeColor="text1"/>
        </w:rPr>
        <w:t xml:space="preserve">, </w:t>
      </w:r>
      <w:r w:rsidRPr="00612720">
        <w:rPr>
          <w:rFonts w:ascii="Arial" w:hAnsi="Arial" w:cs="Arial"/>
          <w:color w:val="000000" w:themeColor="text1"/>
        </w:rPr>
        <w:t xml:space="preserve">en nombre del Partido </w:t>
      </w:r>
      <w:r w:rsidRPr="00612720">
        <w:rPr>
          <w:rFonts w:ascii="Arial" w:hAnsi="Arial" w:cs="Arial"/>
          <w:b/>
          <w:color w:val="FF0000"/>
        </w:rPr>
        <w:t>morena</w:t>
      </w:r>
      <w:r>
        <w:rPr>
          <w:rFonts w:ascii="Arial" w:hAnsi="Arial" w:cs="Arial"/>
          <w:b/>
          <w:color w:val="000000" w:themeColor="text1"/>
        </w:rPr>
        <w:t xml:space="preserve">, </w:t>
      </w:r>
      <w:r w:rsidRPr="00612720">
        <w:rPr>
          <w:rFonts w:ascii="Arial" w:hAnsi="Arial" w:cs="Arial"/>
          <w:color w:val="000000" w:themeColor="text1"/>
        </w:rPr>
        <w:t>del Grupo Parlamentario del Partido Verde ecologista de México y del Partido del Trabajo</w:t>
      </w:r>
      <w:r>
        <w:rPr>
          <w:rFonts w:ascii="Arial" w:hAnsi="Arial" w:cs="Arial"/>
          <w:b/>
          <w:color w:val="000000" w:themeColor="text1"/>
        </w:rPr>
        <w:t xml:space="preserve">, </w:t>
      </w:r>
      <w:r w:rsidRPr="0085320C">
        <w:rPr>
          <w:rFonts w:ascii="Arial" w:hAnsi="Arial" w:cs="Arial"/>
          <w:color w:val="000000" w:themeColor="text1"/>
        </w:rPr>
        <w:t xml:space="preserve">con fundamento en el artículo 35 fracción I de la Constitución Política del Estado de Yucatán, artículos 16 y 22 fracción VI de la Ley de Gobierno de poder Legislativo del estado, así como los artículos 68 y 69 de reglamento de la citada Ley, me permito presentar a la consideración de esta soberanía la presente iniciativa con proyecto de decreto por el que se modifica la </w:t>
      </w:r>
      <w:r w:rsidRPr="0085320C">
        <w:rPr>
          <w:rFonts w:ascii="Arial" w:hAnsi="Arial" w:cs="Arial"/>
          <w:bCs/>
          <w:color w:val="000000" w:themeColor="text1"/>
        </w:rPr>
        <w:t>Ley Orgánica del Tribunal de Justicia Administrativa del Estado de Yucatán</w:t>
      </w:r>
      <w:r w:rsidRPr="0085320C">
        <w:rPr>
          <w:rFonts w:ascii="Arial" w:hAnsi="Arial" w:cs="Arial"/>
          <w:color w:val="000000" w:themeColor="text1"/>
        </w:rPr>
        <w:t>, la Ley de Fiscalización de la Cuenta Pública del Estado de Yucatán y artículos transitorios del Decreto 98/2025 por el que se modifica el Código de la Administración Pública de Yucatán, sobre la Secretaría Anticorrupción y Buen Gobierno; así como diversas Leyes Estatales en materia de Transparencia, Acceso a la Información y Protección de Datos Personales, publicado en el Diario Oficial del Gobierno del Estado de Yucatán en fecha 28 de julio de 2025, por lo cual realizo la siguiente:</w:t>
      </w:r>
    </w:p>
    <w:p w14:paraId="053946E6" w14:textId="77777777" w:rsidR="00670A05" w:rsidRPr="0085320C" w:rsidRDefault="00670A05" w:rsidP="00670A05">
      <w:pPr>
        <w:spacing w:line="360" w:lineRule="auto"/>
        <w:rPr>
          <w:rFonts w:ascii="Arial" w:hAnsi="Arial" w:cs="Arial"/>
          <w:b/>
          <w:color w:val="000000" w:themeColor="text1"/>
        </w:rPr>
      </w:pPr>
    </w:p>
    <w:p w14:paraId="01619570" w14:textId="77777777" w:rsidR="00670A05" w:rsidRPr="0085320C" w:rsidRDefault="00670A05" w:rsidP="00670A05">
      <w:pPr>
        <w:spacing w:line="360" w:lineRule="auto"/>
        <w:jc w:val="center"/>
        <w:rPr>
          <w:rFonts w:ascii="Arial" w:hAnsi="Arial" w:cs="Arial"/>
          <w:b/>
          <w:color w:val="000000" w:themeColor="text1"/>
        </w:rPr>
      </w:pPr>
      <w:r w:rsidRPr="0085320C">
        <w:rPr>
          <w:rFonts w:ascii="Arial" w:hAnsi="Arial" w:cs="Arial"/>
          <w:b/>
          <w:color w:val="000000" w:themeColor="text1"/>
        </w:rPr>
        <w:t xml:space="preserve">EXPOSICIÓN DE MOTIVOS </w:t>
      </w:r>
    </w:p>
    <w:p w14:paraId="17AE9FCA" w14:textId="77777777" w:rsidR="00670A05" w:rsidRPr="0085320C" w:rsidRDefault="00670A05" w:rsidP="00670A05">
      <w:pPr>
        <w:spacing w:line="360" w:lineRule="auto"/>
        <w:rPr>
          <w:rFonts w:ascii="Arial" w:hAnsi="Arial" w:cs="Arial"/>
          <w:color w:val="000000" w:themeColor="text1"/>
        </w:rPr>
      </w:pPr>
      <w:r w:rsidRPr="0085320C">
        <w:rPr>
          <w:rFonts w:ascii="Arial" w:hAnsi="Arial" w:cs="Arial"/>
          <w:color w:val="000000" w:themeColor="text1"/>
        </w:rPr>
        <w:lastRenderedPageBreak/>
        <w:t>El Tribunal de Justicia Administrativa del Estado de Yucatán es un organismo constitucional autónomo, máxima autoridad en materia contencioso administrativa, fiscal y de responsabilidades, dotado de plena jurisdicción, autonomía e independencia para dictar sus resoluciones y poder coactivo para hacerlas cumplir, que tiene por objeto conocer, resolver y dirimir las controversias de carácter administrativo y fiscal que se susciten entre la Administración Pública centralizada y paraestatal del estado y sus municipios, y los particulares; así como respecto de las faltas administrativas graves que correspondan a los servidores públicos y a particulares relacionados con hechos de corrupción que constituyan faltas administrativas graves, en términos de la legislación aplicable en materia de responsabilidades administrativas.</w:t>
      </w:r>
    </w:p>
    <w:p w14:paraId="2134C168" w14:textId="77777777" w:rsidR="00670A05" w:rsidRPr="0085320C" w:rsidRDefault="00670A05" w:rsidP="00670A05">
      <w:pPr>
        <w:spacing w:line="360" w:lineRule="auto"/>
        <w:rPr>
          <w:rFonts w:ascii="Arial" w:hAnsi="Arial" w:cs="Arial"/>
          <w:color w:val="000000" w:themeColor="text1"/>
        </w:rPr>
      </w:pPr>
      <w:r w:rsidRPr="0085320C">
        <w:rPr>
          <w:rFonts w:ascii="Arial" w:hAnsi="Arial" w:cs="Arial"/>
          <w:color w:val="000000" w:themeColor="text1"/>
        </w:rPr>
        <w:t>Desde su creación, este órgano ha cumplido un papel fundamental en la consolidación del Sistema Estatal Anticorrupción y en el fortalecimiento de la justicia administrativa. No obstante, tanto el marco normativo federal como el local han experimentado una evolución constante, impulsada por los retos de su operación cotidiana, los cambios derivados de nuevas disposiciones constitucionales y legales, así como por la necesidad de garantizar la eficacia institucional frente a las crecientes demandas sociales.</w:t>
      </w:r>
    </w:p>
    <w:p w14:paraId="7FEC7A86" w14:textId="77777777" w:rsidR="00670A05" w:rsidRPr="0085320C" w:rsidRDefault="00670A05" w:rsidP="00670A05">
      <w:pPr>
        <w:spacing w:line="360" w:lineRule="auto"/>
        <w:rPr>
          <w:rFonts w:ascii="Arial" w:hAnsi="Arial" w:cs="Arial"/>
          <w:color w:val="000000" w:themeColor="text1"/>
        </w:rPr>
      </w:pPr>
      <w:r w:rsidRPr="0085320C">
        <w:rPr>
          <w:rFonts w:ascii="Arial" w:hAnsi="Arial" w:cs="Arial"/>
          <w:color w:val="000000" w:themeColor="text1"/>
        </w:rPr>
        <w:t>En este contexto, resulta indispensable llevar a cabo una adecuación integral de la Ley Orgánica del Tribunal de Justicia Administrativa del Estado de Yucatán, con la finalidad de armonizar sus disposiciones con los recientes ajustes al marco constitucional y legal, tanto en el ámbito federal como estatal, asegurando congruencia normativa, certeza jurídica y funcionalidad institucional.</w:t>
      </w:r>
    </w:p>
    <w:p w14:paraId="2E2550AB" w14:textId="77777777" w:rsidR="00670A05" w:rsidRPr="0085320C" w:rsidRDefault="00670A05" w:rsidP="00670A05">
      <w:pPr>
        <w:spacing w:line="360" w:lineRule="auto"/>
        <w:rPr>
          <w:rFonts w:ascii="Arial" w:hAnsi="Arial" w:cs="Arial"/>
          <w:color w:val="000000" w:themeColor="text1"/>
        </w:rPr>
      </w:pPr>
      <w:r w:rsidRPr="0085320C">
        <w:rPr>
          <w:rFonts w:ascii="Arial" w:hAnsi="Arial" w:cs="Arial"/>
          <w:color w:val="000000" w:themeColor="text1"/>
        </w:rPr>
        <w:t>Es por ello, que la presente iniciativa de reforma a la Ley Orgánica del Tribunal de Justicia Administrativa del Estado de Yucatán encuentra su justificación en la necesidad de mantener actualizado el marco jurídico estatal, en armonía con las transformaciones constitucionales y legales más recientes, particularmente las reformas constitucionales publicadas en el Diario Oficial del Gobierno del Estado el 5 de marzo de 2025, así como las disposiciones contenidas en el Decreto 98/2025.</w:t>
      </w:r>
    </w:p>
    <w:p w14:paraId="6894743B" w14:textId="77777777" w:rsidR="00670A05" w:rsidRPr="0085320C" w:rsidRDefault="00670A05" w:rsidP="00670A05">
      <w:pPr>
        <w:spacing w:line="360" w:lineRule="auto"/>
        <w:rPr>
          <w:rFonts w:ascii="Arial" w:hAnsi="Arial" w:cs="Arial"/>
          <w:color w:val="000000" w:themeColor="text1"/>
        </w:rPr>
      </w:pPr>
      <w:r w:rsidRPr="0085320C">
        <w:rPr>
          <w:rFonts w:ascii="Arial" w:hAnsi="Arial" w:cs="Arial"/>
          <w:color w:val="000000" w:themeColor="text1"/>
        </w:rPr>
        <w:t>La armonización legislativa constituye un deber del legislador local que se deriva del principio de supremacía constitucional, previsto en el artículo 133 de la Constitución Política de los Estados Unidos Mexicanos. Los estados de la Federación tienen la obligación de adecuar su normatividad interna a los parámetros constitucionales federales y a la evolución de su propia Constitución local, evitando antinomias que comprometan la certeza jurídica.</w:t>
      </w:r>
    </w:p>
    <w:p w14:paraId="223BD98C" w14:textId="77777777" w:rsidR="00670A05" w:rsidRPr="0085320C" w:rsidRDefault="00670A05" w:rsidP="00670A05">
      <w:pPr>
        <w:spacing w:line="360" w:lineRule="auto"/>
        <w:rPr>
          <w:rFonts w:ascii="Arial" w:hAnsi="Arial" w:cs="Arial"/>
          <w:color w:val="000000" w:themeColor="text1"/>
        </w:rPr>
      </w:pPr>
      <w:r w:rsidRPr="0085320C">
        <w:rPr>
          <w:rFonts w:ascii="Arial" w:hAnsi="Arial" w:cs="Arial"/>
          <w:color w:val="000000" w:themeColor="text1"/>
        </w:rPr>
        <w:t>En el caso de Yucatán, la reforma constitucional de marzo de 2025 fortaleció el diseño institucional del Tribunal de Justicia Administrativa (TJA), precisando sus bases competenciales y reafirmando su carácter de órgano constitucional autónomo encargado de impartir justicia en materia de responsabilidades administrativas graves y asuntos de naturaleza contencioso-administrativa.</w:t>
      </w:r>
    </w:p>
    <w:p w14:paraId="6D1588BA" w14:textId="77777777" w:rsidR="00670A05" w:rsidRPr="0085320C" w:rsidRDefault="00670A05" w:rsidP="00670A05">
      <w:pPr>
        <w:spacing w:line="360" w:lineRule="auto"/>
        <w:rPr>
          <w:rFonts w:ascii="Arial" w:hAnsi="Arial" w:cs="Arial"/>
          <w:color w:val="000000" w:themeColor="text1"/>
        </w:rPr>
      </w:pPr>
      <w:r w:rsidRPr="0085320C">
        <w:rPr>
          <w:rFonts w:ascii="Arial" w:hAnsi="Arial" w:cs="Arial"/>
          <w:color w:val="000000" w:themeColor="text1"/>
        </w:rPr>
        <w:t>Esta reforma tuvo como finalidad consolidar la independencia funcional y operativa del Tribunal, asegurando que sus resoluciones se emitan con plena autonomía respecto de las autoridades administrativas investigadoras y substanciadoras. Con ello, se dio cumplimiento a los principios de imparcialidad y división de funciones que caracterizan al Sistema Nacional y Estatal Anticorrupción.</w:t>
      </w:r>
    </w:p>
    <w:p w14:paraId="6E2B429A" w14:textId="77777777" w:rsidR="00670A05" w:rsidRPr="0085320C" w:rsidRDefault="00670A05" w:rsidP="00670A05">
      <w:pPr>
        <w:spacing w:line="360" w:lineRule="auto"/>
        <w:rPr>
          <w:rFonts w:ascii="Arial" w:hAnsi="Arial" w:cs="Arial"/>
          <w:color w:val="000000" w:themeColor="text1"/>
        </w:rPr>
      </w:pPr>
      <w:r w:rsidRPr="0085320C">
        <w:rPr>
          <w:rFonts w:ascii="Arial" w:hAnsi="Arial" w:cs="Arial"/>
          <w:color w:val="000000" w:themeColor="text1"/>
        </w:rPr>
        <w:t>De manera complementaria, el Decreto 98/2025 transformó la antigua Contraloría General en la Secretaría Anticorrupción y Buen Gobierno, lo que implicó una reconfiguración sustantiva en las competencias de control interno y en la distribución de atribuciones relacionadas con las responsabilidades administrativas.</w:t>
      </w:r>
    </w:p>
    <w:p w14:paraId="0CA6F1AE" w14:textId="77777777" w:rsidR="00670A05" w:rsidRPr="0085320C" w:rsidRDefault="00670A05" w:rsidP="00670A05">
      <w:pPr>
        <w:spacing w:line="360" w:lineRule="auto"/>
        <w:rPr>
          <w:rFonts w:ascii="Arial" w:hAnsi="Arial" w:cs="Arial"/>
          <w:color w:val="000000" w:themeColor="text1"/>
        </w:rPr>
      </w:pPr>
      <w:r w:rsidRPr="0085320C">
        <w:rPr>
          <w:rFonts w:ascii="Arial" w:hAnsi="Arial" w:cs="Arial"/>
          <w:color w:val="000000" w:themeColor="text1"/>
        </w:rPr>
        <w:t>Dicho decreto también reformó diversos ordenamientos, incluyendo la Ley Orgánica del Tribunal de Justicia Administrativa, a fin de delimitar con mayor claridad su ámbito competencial. En particular, estableció de manera expresa que el TJA carece de competencia para conocer de las resoluciones dictadas por las autoridades garantes en materia de transparencia, acceso a la información pública y protección de datos personales.</w:t>
      </w:r>
    </w:p>
    <w:p w14:paraId="7B924AB1" w14:textId="77777777" w:rsidR="00670A05" w:rsidRPr="0085320C" w:rsidRDefault="00670A05" w:rsidP="00670A05">
      <w:pPr>
        <w:spacing w:line="360" w:lineRule="auto"/>
        <w:rPr>
          <w:rFonts w:ascii="Arial" w:hAnsi="Arial" w:cs="Arial"/>
          <w:color w:val="000000" w:themeColor="text1"/>
        </w:rPr>
      </w:pPr>
      <w:r w:rsidRPr="0085320C">
        <w:rPr>
          <w:rFonts w:ascii="Arial" w:hAnsi="Arial" w:cs="Arial"/>
          <w:color w:val="000000" w:themeColor="text1"/>
        </w:rPr>
        <w:t>Esta precisión normativa responde al principio de especialidad, en virtud del cual los órganos técnicos especializados en la tutela de derechos fundamentales deben resolver de manera definitiva las controversias propias de su materia, evitando duplicidades con las autoridades jurisdiccionales. Así, se refuerza la protección de los derechos consagrados en el artículo 6º constitucional.</w:t>
      </w:r>
    </w:p>
    <w:p w14:paraId="36486821" w14:textId="77777777" w:rsidR="00670A05" w:rsidRPr="0085320C" w:rsidRDefault="00670A05" w:rsidP="00670A05">
      <w:pPr>
        <w:spacing w:line="360" w:lineRule="auto"/>
        <w:rPr>
          <w:rFonts w:ascii="Arial" w:hAnsi="Arial" w:cs="Arial"/>
          <w:color w:val="000000" w:themeColor="text1"/>
        </w:rPr>
      </w:pPr>
      <w:r w:rsidRPr="0085320C">
        <w:rPr>
          <w:rFonts w:ascii="Arial" w:hAnsi="Arial" w:cs="Arial"/>
          <w:color w:val="000000" w:themeColor="text1"/>
        </w:rPr>
        <w:t>La presente iniciativa tiene como propósito dotar al Tribunal de un marco jurídico más claro, preciso y coherente con las exigencias actuales de la justicia administrativa. Con ello, se busca fortalecer su funcionamiento, consolidar su papel en el combate a la corrupción y garantizar una atención más efectiva a las necesidades tanto de la ciudadanía como de las autoridades públicas que acuden a su jurisdicción.</w:t>
      </w:r>
    </w:p>
    <w:p w14:paraId="12CF8F56" w14:textId="77777777" w:rsidR="00670A05" w:rsidRPr="0085320C" w:rsidRDefault="00670A05" w:rsidP="00670A05">
      <w:pPr>
        <w:spacing w:line="360" w:lineRule="auto"/>
        <w:rPr>
          <w:rFonts w:ascii="Arial" w:hAnsi="Arial" w:cs="Arial"/>
          <w:color w:val="000000" w:themeColor="text1"/>
        </w:rPr>
      </w:pPr>
      <w:r w:rsidRPr="0085320C">
        <w:rPr>
          <w:rFonts w:ascii="Arial" w:hAnsi="Arial" w:cs="Arial"/>
          <w:color w:val="000000" w:themeColor="text1"/>
        </w:rPr>
        <w:t xml:space="preserve">En cuanto al proyecto de decreto, se contempla la delimitación de competencias del Tribunal, señalando que carece de atribuciones en materia de transparencia, acceso a la información y protección de datos personales, lo que permite evitar la dispersión normativa y fortalecer la certeza jurídica. Asimismo, se establece la armonización normativa para que las remisiones ya no se hagan al Código de Procedimientos Civiles de Yucatán, sino al Código Nacional de Procedimientos Civiles y Familiares, en concordancia con el nuevo marco jurídico nacional, garantizando uniformidad y modernidad procesal. También se refuerza la autonomía presupuestal del Tribunal bajo principios de legalidad, transparencia, austeridad y rendición de cuentas, con el fin de que los recursos asignados se ejerzan de manera eficiente y responsable. </w:t>
      </w:r>
    </w:p>
    <w:p w14:paraId="3FBA8573" w14:textId="77777777" w:rsidR="00670A05" w:rsidRPr="0085320C" w:rsidRDefault="00670A05" w:rsidP="00670A05">
      <w:pPr>
        <w:spacing w:line="360" w:lineRule="auto"/>
        <w:rPr>
          <w:rFonts w:ascii="Arial" w:hAnsi="Arial" w:cs="Arial"/>
          <w:color w:val="000000" w:themeColor="text1"/>
        </w:rPr>
      </w:pPr>
      <w:r w:rsidRPr="0085320C">
        <w:rPr>
          <w:rFonts w:ascii="Arial" w:hAnsi="Arial" w:cs="Arial"/>
          <w:color w:val="000000" w:themeColor="text1"/>
        </w:rPr>
        <w:t>De igual forma, se incorpora expresamente la facultad para crear comisiones y comités internos, lo que permitirá una mejor organización institucional, mayor especialización y eficacia en la atención de los asuntos administrativos. Por último, se homologa el procedimiento de designación de la persona titular del Órgano Interno de Control, conforme a lo dispuesto en la Constitución Política del Estado de Yucatán, a fin de asegurar independencia técnica y de gestión, así como una supervisión imparcial y efectiva.</w:t>
      </w:r>
    </w:p>
    <w:p w14:paraId="719E50E2" w14:textId="77777777" w:rsidR="00670A05" w:rsidRPr="0085320C" w:rsidRDefault="00670A05" w:rsidP="00670A05">
      <w:pPr>
        <w:spacing w:line="360" w:lineRule="auto"/>
        <w:rPr>
          <w:rFonts w:ascii="Arial" w:hAnsi="Arial" w:cs="Arial"/>
          <w:color w:val="000000" w:themeColor="text1"/>
        </w:rPr>
      </w:pPr>
      <w:r w:rsidRPr="0085320C">
        <w:rPr>
          <w:rFonts w:ascii="Arial" w:hAnsi="Arial" w:cs="Arial"/>
          <w:color w:val="000000" w:themeColor="text1"/>
        </w:rPr>
        <w:t xml:space="preserve">Ahora bien, en </w:t>
      </w:r>
      <w:r w:rsidRPr="00A75754">
        <w:rPr>
          <w:rFonts w:ascii="Arial" w:hAnsi="Arial" w:cs="Arial"/>
          <w:color w:val="000000" w:themeColor="text1"/>
        </w:rPr>
        <w:t>cuanto a la Ley de Fiscalización de la Cuenta Pública del Estado de Yucatán se propone reformarla con el objeto de fortalecer el marco jurídico que</w:t>
      </w:r>
      <w:r w:rsidRPr="0085320C">
        <w:rPr>
          <w:rFonts w:ascii="Arial" w:hAnsi="Arial" w:cs="Arial"/>
          <w:color w:val="000000" w:themeColor="text1"/>
        </w:rPr>
        <w:t xml:space="preserve"> regula la actuación de la Auditoría Superior del Estado y en consecuencia dotar de las reformas necesarias para el adecuado ejercicio de sus funciones consolidando de este modo, un ejercicio de la cuenta pública apegado a los ideales y fines en una mejor impartición de justicia administrativa e institucional.</w:t>
      </w:r>
    </w:p>
    <w:p w14:paraId="6191F293" w14:textId="77777777" w:rsidR="00670A05" w:rsidRPr="0085320C" w:rsidRDefault="00670A05" w:rsidP="00670A05">
      <w:pPr>
        <w:spacing w:line="360" w:lineRule="auto"/>
        <w:rPr>
          <w:rFonts w:ascii="Arial" w:hAnsi="Arial" w:cs="Arial"/>
          <w:color w:val="000000" w:themeColor="text1"/>
        </w:rPr>
      </w:pPr>
      <w:r w:rsidRPr="0085320C">
        <w:rPr>
          <w:rFonts w:ascii="Arial" w:hAnsi="Arial" w:cs="Arial"/>
          <w:color w:val="000000" w:themeColor="text1"/>
        </w:rPr>
        <w:t>En primer término, se propone la modificación a la fracción II del artículo 2 para homologar la definición de autonomía de gestión con lo establecido en la Ley de Fiscalización y Rendición de Cuentas de la Federación. Con esta adecuación se amplía la concepción vigente, al establecer expresamente que la Unidad tendrá la facultad no solo de decidir sobre su organización interna, estructura y funcionamiento, sino también sobre sus resoluciones, así como la administración de sus recursos humanos, materiales y financieros. Este cambio robustece la autonomía técnica y operativa de la Auditoría Superior del Estado de Yucatán, evitando la dependencia administrativa respecto de otros órganos y garantizando que pueda ejercer sus atribuciones de manera plena, objetiva y eficaz, en concordancia con el marco federal.</w:t>
      </w:r>
    </w:p>
    <w:p w14:paraId="3713D0A3" w14:textId="77777777" w:rsidR="00670A05" w:rsidRPr="0085320C" w:rsidRDefault="00670A05" w:rsidP="00670A05">
      <w:pPr>
        <w:spacing w:line="360" w:lineRule="auto"/>
        <w:rPr>
          <w:rFonts w:ascii="Arial" w:hAnsi="Arial" w:cs="Arial"/>
          <w:color w:val="000000" w:themeColor="text1"/>
        </w:rPr>
      </w:pPr>
      <w:r w:rsidRPr="0085320C">
        <w:rPr>
          <w:rFonts w:ascii="Arial" w:hAnsi="Arial" w:cs="Arial"/>
          <w:color w:val="000000" w:themeColor="text1"/>
        </w:rPr>
        <w:t>Del mismo modo, se incorpora la precisión relativa a la autonomía técnica, la cual permite a la Unidad definir libremente la planeación, programación, ejecución, informes, seguimiento y resolución en el proceso de evaluación y vigilancia de las auditorías. Esta diferenciación conceptual entre autonomía de gestión y autonomía técnica dota de mayor claridad y solidez a la estructura funcional del órgano fiscalizador, reforzando la división de competencias y asegurando que las decisiones se adopten con criterios exclusivamente técnicos y jurídicos.</w:t>
      </w:r>
    </w:p>
    <w:p w14:paraId="0E37D1E3" w14:textId="77777777" w:rsidR="00670A05" w:rsidRPr="0085320C" w:rsidRDefault="00670A05" w:rsidP="00670A05">
      <w:pPr>
        <w:spacing w:line="360" w:lineRule="auto"/>
        <w:rPr>
          <w:rFonts w:ascii="Arial" w:hAnsi="Arial" w:cs="Arial"/>
          <w:color w:val="000000" w:themeColor="text1"/>
        </w:rPr>
      </w:pPr>
      <w:r w:rsidRPr="0085320C">
        <w:rPr>
          <w:rFonts w:ascii="Arial" w:hAnsi="Arial" w:cs="Arial"/>
          <w:color w:val="000000" w:themeColor="text1"/>
        </w:rPr>
        <w:t>También, se adecúa la remisión normativa para establecer que los requisitos para ser Auditor Superior del Estado se encuentran previstos en el artículo 43 Ter de la Constitución Política del Estado de Yucatán, y no en el artículo 43 Bis como señala la redacción vigente. De esta forma, se asegura coherencia entre el texto constitucional y la legislación secundaria, generando certeza jurídica en los procedimientos de designación y evitando interpretaciones erróneas.</w:t>
      </w:r>
    </w:p>
    <w:p w14:paraId="0E7BAEAF" w14:textId="77777777" w:rsidR="00670A05" w:rsidRPr="0085320C" w:rsidRDefault="00670A05" w:rsidP="00670A05">
      <w:pPr>
        <w:spacing w:line="360" w:lineRule="auto"/>
        <w:rPr>
          <w:rFonts w:ascii="Arial" w:hAnsi="Arial" w:cs="Arial"/>
          <w:color w:val="000000" w:themeColor="text1"/>
        </w:rPr>
      </w:pPr>
      <w:r w:rsidRPr="0085320C">
        <w:rPr>
          <w:rFonts w:ascii="Arial" w:hAnsi="Arial" w:cs="Arial"/>
          <w:color w:val="000000" w:themeColor="text1"/>
        </w:rPr>
        <w:t>Con estas reformas, no sólo se actualiza la legislación aplicable al Tribunal y de la Auditoria Superior del Estado, sino que también se fortalecen los principios de autonomía, imparcialidad, eficacia, transparencia y rendición de cuentas, pilares esenciales de toda institución encargada de impartir justicia. Por todo lo anteriormente expuesto, se considera que la presente iniciativa de reforma es jurídica y socialmente necesaria, ya que moderniza y robustece a una instituciones clave para la eficacia del Estado de derecho en Yucatán, al tiempo que refuerza la confianza ciudadana y consolida el compromiso del Estado con la legalidad y el combate a la corrupción garantizando así un mejor control en beneficio de la las y los yucatecos.</w:t>
      </w:r>
    </w:p>
    <w:p w14:paraId="39E93269" w14:textId="77777777" w:rsidR="00670A05" w:rsidRPr="0085320C" w:rsidRDefault="00670A05" w:rsidP="00670A05">
      <w:pPr>
        <w:spacing w:line="360" w:lineRule="auto"/>
        <w:rPr>
          <w:rFonts w:ascii="Arial" w:hAnsi="Arial" w:cs="Arial"/>
          <w:color w:val="000000" w:themeColor="text1"/>
        </w:rPr>
      </w:pPr>
      <w:r w:rsidRPr="0085320C">
        <w:rPr>
          <w:rFonts w:ascii="Arial" w:hAnsi="Arial" w:cs="Arial"/>
          <w:color w:val="000000" w:themeColor="text1"/>
        </w:rPr>
        <w:t>En mérito de lo anteriormente fundado y motivado, someto a la consideración de esta Honorable Asamblea, la siguiente iniciativa con proyecto de:</w:t>
      </w:r>
    </w:p>
    <w:p w14:paraId="423FC0E2" w14:textId="77777777" w:rsidR="00670A05" w:rsidRPr="0085320C" w:rsidRDefault="00670A05" w:rsidP="00670A05">
      <w:pPr>
        <w:spacing w:line="360" w:lineRule="auto"/>
        <w:jc w:val="center"/>
        <w:rPr>
          <w:rFonts w:ascii="Arial" w:hAnsi="Arial" w:cs="Arial"/>
          <w:b/>
          <w:color w:val="000000" w:themeColor="text1"/>
        </w:rPr>
      </w:pPr>
      <w:r w:rsidRPr="0085320C">
        <w:rPr>
          <w:rFonts w:ascii="Arial" w:hAnsi="Arial" w:cs="Arial"/>
          <w:b/>
          <w:color w:val="000000" w:themeColor="text1"/>
        </w:rPr>
        <w:t>D E C R E T O</w:t>
      </w:r>
    </w:p>
    <w:p w14:paraId="22D776AB" w14:textId="77777777" w:rsidR="00670A05" w:rsidRPr="0085320C" w:rsidRDefault="00670A05" w:rsidP="00670A05">
      <w:pPr>
        <w:spacing w:line="360" w:lineRule="auto"/>
        <w:rPr>
          <w:rFonts w:ascii="Arial" w:hAnsi="Arial" w:cs="Arial"/>
          <w:b/>
          <w:color w:val="000000" w:themeColor="text1"/>
        </w:rPr>
      </w:pPr>
      <w:r w:rsidRPr="0085320C">
        <w:rPr>
          <w:rFonts w:ascii="Arial" w:hAnsi="Arial" w:cs="Arial"/>
          <w:b/>
          <w:color w:val="000000" w:themeColor="text1"/>
        </w:rPr>
        <w:t xml:space="preserve">Por el que se modifica la </w:t>
      </w:r>
      <w:r w:rsidRPr="0085320C">
        <w:rPr>
          <w:rFonts w:ascii="Arial" w:hAnsi="Arial" w:cs="Arial"/>
          <w:b/>
          <w:bCs/>
          <w:color w:val="000000" w:themeColor="text1"/>
        </w:rPr>
        <w:t>Ley Orgánica del Tribunal de Justicia Administrativa del Estado de Yucatán</w:t>
      </w:r>
      <w:r>
        <w:rPr>
          <w:rFonts w:ascii="Arial" w:hAnsi="Arial" w:cs="Arial"/>
          <w:b/>
          <w:color w:val="000000" w:themeColor="text1"/>
        </w:rPr>
        <w:t xml:space="preserve"> y </w:t>
      </w:r>
      <w:r w:rsidRPr="0085320C">
        <w:rPr>
          <w:rFonts w:ascii="Arial" w:hAnsi="Arial" w:cs="Arial"/>
          <w:b/>
          <w:color w:val="000000" w:themeColor="text1"/>
        </w:rPr>
        <w:t>la Ley de Fiscalización de la Cuenta Pública del Estado de Yucatán</w:t>
      </w:r>
      <w:r>
        <w:rPr>
          <w:rFonts w:ascii="Arial" w:hAnsi="Arial" w:cs="Arial"/>
          <w:b/>
          <w:color w:val="000000" w:themeColor="text1"/>
        </w:rPr>
        <w:t>.</w:t>
      </w:r>
    </w:p>
    <w:p w14:paraId="3EF04C6C" w14:textId="77777777" w:rsidR="00670A05" w:rsidRPr="0085320C" w:rsidRDefault="00670A05" w:rsidP="00670A05">
      <w:pPr>
        <w:spacing w:line="360" w:lineRule="auto"/>
        <w:rPr>
          <w:rFonts w:ascii="Arial" w:hAnsi="Arial" w:cs="Arial"/>
          <w:color w:val="000000" w:themeColor="text1"/>
        </w:rPr>
      </w:pPr>
      <w:r w:rsidRPr="0085320C">
        <w:rPr>
          <w:rFonts w:ascii="Arial" w:hAnsi="Arial" w:cs="Arial"/>
          <w:b/>
          <w:color w:val="000000" w:themeColor="text1"/>
        </w:rPr>
        <w:t xml:space="preserve">Artículo Primero. </w:t>
      </w:r>
      <w:r w:rsidRPr="0085320C">
        <w:rPr>
          <w:rFonts w:ascii="Arial" w:hAnsi="Arial" w:cs="Arial"/>
          <w:color w:val="000000" w:themeColor="text1"/>
        </w:rPr>
        <w:t xml:space="preserve">Se reforma el artículo 2; se reforman las fracciones IV y VI, se derogan las fracciones XII y XIII, y se adiciona un segundo párrafo recorriéndose los párrafos vigentes en forma subsecuente del artículo 4; se reforma el segundo párrafo del artículo 12; se reforma la fracción XXXVII y se derogan las fracciones X y XXVIII del artículo 15; se reforman los artículos 21, 26, 29 y 30; y se deroga la IV del artículo 40, y se reforma el artículo 42, todos de la </w:t>
      </w:r>
      <w:r w:rsidRPr="0085320C">
        <w:rPr>
          <w:rFonts w:ascii="Arial" w:hAnsi="Arial" w:cs="Arial"/>
          <w:bCs/>
          <w:color w:val="000000" w:themeColor="text1"/>
        </w:rPr>
        <w:t>Ley Orgánica del Tribunal de Justicia Administrativa del Estado de Yucatán</w:t>
      </w:r>
      <w:r w:rsidRPr="0085320C">
        <w:rPr>
          <w:rFonts w:ascii="Arial" w:hAnsi="Arial" w:cs="Arial"/>
          <w:color w:val="000000" w:themeColor="text1"/>
        </w:rPr>
        <w:t xml:space="preserve">, para quedar como sigue: </w:t>
      </w:r>
    </w:p>
    <w:p w14:paraId="23B09DF5" w14:textId="77777777" w:rsidR="00670A05" w:rsidRPr="0085320C" w:rsidRDefault="00670A05" w:rsidP="00670A05">
      <w:pPr>
        <w:spacing w:line="360" w:lineRule="auto"/>
        <w:rPr>
          <w:rFonts w:ascii="Arial" w:hAnsi="Arial" w:cs="Arial"/>
          <w:b/>
          <w:color w:val="000000" w:themeColor="text1"/>
        </w:rPr>
      </w:pPr>
      <w:r w:rsidRPr="0085320C">
        <w:rPr>
          <w:rFonts w:ascii="Arial" w:hAnsi="Arial" w:cs="Arial"/>
          <w:b/>
          <w:color w:val="000000" w:themeColor="text1"/>
        </w:rPr>
        <w:t>Artículo 2. Objeto del tribunal</w:t>
      </w:r>
    </w:p>
    <w:p w14:paraId="49A887DC" w14:textId="77777777" w:rsidR="00670A05" w:rsidRPr="0085320C" w:rsidRDefault="00670A05" w:rsidP="00670A05">
      <w:pPr>
        <w:spacing w:line="360" w:lineRule="auto"/>
        <w:rPr>
          <w:rFonts w:ascii="Arial" w:hAnsi="Arial" w:cs="Arial"/>
          <w:color w:val="000000" w:themeColor="text1"/>
        </w:rPr>
      </w:pPr>
      <w:r w:rsidRPr="0085320C">
        <w:rPr>
          <w:rFonts w:ascii="Arial" w:hAnsi="Arial" w:cs="Arial"/>
          <w:color w:val="000000" w:themeColor="text1"/>
        </w:rPr>
        <w:t>El Tribunal de Justicia Administrativa del Estado de Yucatán es un organismo constitucional autónomo, máxima autoridad en materia contencioso administrativa, fiscal y de responsabilidades administrativas, dotado de plena jurisdicción, autonomía e independencia para dictar sus resoluciones e imperio para hacerlas cumplir, que tiene por objeto conocer, resolver y dirimir las controversias de carácter administrativo, excepto en materia de transparencia y protección de datos personales, y fiscal que se susciten entre la Administración Pública centralizada y paraestatal del estado y sus municipios, y los particulares; así como respecto de las faltas administrativas graves que correspondan a los servidores públicos y a particulares relacionados con hechos de corrupción que constituyan faltas administrativas graves, en términos de la legislación aplicable en materia de responsabilidades administrativas.</w:t>
      </w:r>
    </w:p>
    <w:p w14:paraId="6170E42D" w14:textId="77777777" w:rsidR="00670A05" w:rsidRPr="0085320C" w:rsidRDefault="00670A05" w:rsidP="00670A05">
      <w:pPr>
        <w:spacing w:line="360" w:lineRule="auto"/>
        <w:rPr>
          <w:rFonts w:ascii="Arial" w:hAnsi="Arial" w:cs="Arial"/>
          <w:color w:val="000000" w:themeColor="text1"/>
        </w:rPr>
      </w:pPr>
    </w:p>
    <w:p w14:paraId="42EE89B5" w14:textId="77777777" w:rsidR="00670A05" w:rsidRPr="0085320C" w:rsidRDefault="00670A05" w:rsidP="00670A05">
      <w:pPr>
        <w:spacing w:line="360" w:lineRule="auto"/>
        <w:rPr>
          <w:rFonts w:ascii="Arial" w:hAnsi="Arial" w:cs="Arial"/>
          <w:b/>
          <w:color w:val="000000" w:themeColor="text1"/>
        </w:rPr>
      </w:pPr>
      <w:r w:rsidRPr="0085320C">
        <w:rPr>
          <w:rFonts w:ascii="Arial" w:hAnsi="Arial" w:cs="Arial"/>
          <w:b/>
          <w:color w:val="000000" w:themeColor="text1"/>
        </w:rPr>
        <w:t>Artículo 4.</w:t>
      </w:r>
      <w:r w:rsidRPr="0085320C">
        <w:rPr>
          <w:rFonts w:ascii="Arial" w:hAnsi="Arial" w:cs="Arial"/>
          <w:color w:val="000000" w:themeColor="text1"/>
        </w:rPr>
        <w:t xml:space="preserve"> </w:t>
      </w:r>
      <w:r w:rsidRPr="0085320C">
        <w:rPr>
          <w:rFonts w:ascii="Arial" w:hAnsi="Arial" w:cs="Arial"/>
          <w:b/>
          <w:color w:val="000000" w:themeColor="text1"/>
        </w:rPr>
        <w:t>Competencia</w:t>
      </w:r>
    </w:p>
    <w:p w14:paraId="5425CC27" w14:textId="77777777" w:rsidR="00670A05" w:rsidRPr="0085320C" w:rsidRDefault="00670A05" w:rsidP="00670A05">
      <w:pPr>
        <w:spacing w:line="360" w:lineRule="auto"/>
        <w:rPr>
          <w:rFonts w:ascii="Arial" w:hAnsi="Arial" w:cs="Arial"/>
          <w:color w:val="000000" w:themeColor="text1"/>
        </w:rPr>
      </w:pPr>
      <w:r w:rsidRPr="0085320C">
        <w:rPr>
          <w:rFonts w:ascii="Arial" w:hAnsi="Arial" w:cs="Arial"/>
          <w:color w:val="000000" w:themeColor="text1"/>
        </w:rPr>
        <w:t>…</w:t>
      </w:r>
    </w:p>
    <w:p w14:paraId="4915E77B" w14:textId="77777777" w:rsidR="00670A05" w:rsidRPr="0085320C" w:rsidRDefault="00670A05" w:rsidP="00670A05">
      <w:pPr>
        <w:spacing w:line="360" w:lineRule="auto"/>
        <w:rPr>
          <w:rFonts w:ascii="Arial" w:hAnsi="Arial" w:cs="Arial"/>
          <w:color w:val="000000" w:themeColor="text1"/>
        </w:rPr>
      </w:pPr>
      <w:r w:rsidRPr="0085320C">
        <w:rPr>
          <w:rFonts w:ascii="Arial" w:hAnsi="Arial" w:cs="Arial"/>
          <w:b/>
          <w:color w:val="000000" w:themeColor="text1"/>
        </w:rPr>
        <w:t>I.-</w:t>
      </w:r>
      <w:r w:rsidRPr="0085320C">
        <w:rPr>
          <w:rFonts w:ascii="Arial" w:hAnsi="Arial" w:cs="Arial"/>
          <w:color w:val="000000" w:themeColor="text1"/>
        </w:rPr>
        <w:t xml:space="preserve"> a la </w:t>
      </w:r>
      <w:r w:rsidRPr="0085320C">
        <w:rPr>
          <w:rFonts w:ascii="Arial" w:hAnsi="Arial" w:cs="Arial"/>
          <w:b/>
          <w:color w:val="000000" w:themeColor="text1"/>
        </w:rPr>
        <w:t>III.-</w:t>
      </w:r>
      <w:r w:rsidRPr="0085320C">
        <w:rPr>
          <w:rFonts w:ascii="Arial" w:hAnsi="Arial" w:cs="Arial"/>
          <w:color w:val="000000" w:themeColor="text1"/>
        </w:rPr>
        <w:t xml:space="preserve"> …</w:t>
      </w:r>
    </w:p>
    <w:p w14:paraId="685E486D" w14:textId="77777777" w:rsidR="00670A05" w:rsidRPr="0085320C" w:rsidRDefault="00670A05" w:rsidP="00670A05">
      <w:pPr>
        <w:spacing w:line="360" w:lineRule="auto"/>
        <w:rPr>
          <w:rFonts w:ascii="Arial" w:hAnsi="Arial" w:cs="Arial"/>
          <w:color w:val="000000" w:themeColor="text1"/>
        </w:rPr>
      </w:pPr>
    </w:p>
    <w:p w14:paraId="040D6946" w14:textId="77777777" w:rsidR="00670A05" w:rsidRPr="0085320C" w:rsidRDefault="00670A05" w:rsidP="00670A05">
      <w:pPr>
        <w:spacing w:line="360" w:lineRule="auto"/>
        <w:rPr>
          <w:rFonts w:ascii="Arial" w:hAnsi="Arial" w:cs="Arial"/>
          <w:color w:val="000000" w:themeColor="text1"/>
        </w:rPr>
      </w:pPr>
      <w:r w:rsidRPr="0085320C">
        <w:rPr>
          <w:rFonts w:ascii="Arial" w:hAnsi="Arial" w:cs="Arial"/>
          <w:b/>
          <w:color w:val="000000" w:themeColor="text1"/>
        </w:rPr>
        <w:t>IV.-</w:t>
      </w:r>
      <w:r w:rsidRPr="0085320C">
        <w:rPr>
          <w:rFonts w:ascii="Arial" w:hAnsi="Arial" w:cs="Arial"/>
          <w:color w:val="000000" w:themeColor="text1"/>
        </w:rPr>
        <w:t xml:space="preserve"> Los juicios contra resoluciones dictadas por las autoridades administrativas o fiscales del Poder Ejecutivo del estado, de los municipios y por los organismos autónomos.</w:t>
      </w:r>
    </w:p>
    <w:p w14:paraId="118C5695" w14:textId="77777777" w:rsidR="00670A05" w:rsidRPr="0085320C" w:rsidRDefault="00670A05" w:rsidP="00670A05">
      <w:pPr>
        <w:spacing w:line="360" w:lineRule="auto"/>
        <w:rPr>
          <w:rFonts w:ascii="Arial" w:hAnsi="Arial" w:cs="Arial"/>
          <w:color w:val="000000" w:themeColor="text1"/>
        </w:rPr>
      </w:pPr>
      <w:r w:rsidRPr="0085320C">
        <w:rPr>
          <w:rFonts w:ascii="Arial" w:hAnsi="Arial" w:cs="Arial"/>
          <w:b/>
          <w:color w:val="000000" w:themeColor="text1"/>
        </w:rPr>
        <w:t>V.-</w:t>
      </w:r>
      <w:r w:rsidRPr="0085320C">
        <w:rPr>
          <w:rFonts w:ascii="Arial" w:hAnsi="Arial" w:cs="Arial"/>
          <w:color w:val="000000" w:themeColor="text1"/>
        </w:rPr>
        <w:t xml:space="preserve"> …</w:t>
      </w:r>
    </w:p>
    <w:p w14:paraId="4FE255CA" w14:textId="77777777" w:rsidR="00670A05" w:rsidRPr="0085320C" w:rsidRDefault="00670A05" w:rsidP="00670A05">
      <w:pPr>
        <w:spacing w:line="360" w:lineRule="auto"/>
        <w:rPr>
          <w:rFonts w:ascii="Arial" w:hAnsi="Arial" w:cs="Arial"/>
          <w:color w:val="000000" w:themeColor="text1"/>
        </w:rPr>
      </w:pPr>
    </w:p>
    <w:p w14:paraId="3902010C" w14:textId="77777777" w:rsidR="00670A05" w:rsidRPr="0085320C" w:rsidRDefault="00670A05" w:rsidP="00670A05">
      <w:pPr>
        <w:spacing w:line="360" w:lineRule="auto"/>
        <w:rPr>
          <w:rFonts w:ascii="Arial" w:hAnsi="Arial" w:cs="Arial"/>
          <w:color w:val="000000" w:themeColor="text1"/>
        </w:rPr>
      </w:pPr>
      <w:r w:rsidRPr="0085320C">
        <w:rPr>
          <w:rFonts w:ascii="Arial" w:hAnsi="Arial" w:cs="Arial"/>
          <w:b/>
          <w:color w:val="000000" w:themeColor="text1"/>
        </w:rPr>
        <w:t>VI.-</w:t>
      </w:r>
      <w:r w:rsidRPr="0085320C">
        <w:rPr>
          <w:rFonts w:ascii="Arial" w:hAnsi="Arial" w:cs="Arial"/>
          <w:color w:val="000000" w:themeColor="text1"/>
        </w:rPr>
        <w:t xml:space="preserve"> Los juicios que se promuevan en contra de las resoluciones negativas fictas o en las que se nieguen las positivas fictas en materia administrativa y fiscal, que se configuren por el silencio de las autoridades del Poder Ejecutivo, de los municipios, de los organismos públicos descentralizados, las empresas de participación estatal mayoritaria y los fideicomisos públicos y por los organismos autónomos.</w:t>
      </w:r>
    </w:p>
    <w:p w14:paraId="1CEEFAF5" w14:textId="77777777" w:rsidR="00670A05" w:rsidRPr="0085320C" w:rsidRDefault="00670A05" w:rsidP="00670A05">
      <w:pPr>
        <w:spacing w:line="360" w:lineRule="auto"/>
        <w:rPr>
          <w:rFonts w:ascii="Arial" w:hAnsi="Arial" w:cs="Arial"/>
          <w:color w:val="000000" w:themeColor="text1"/>
        </w:rPr>
      </w:pPr>
      <w:r w:rsidRPr="0085320C">
        <w:rPr>
          <w:rFonts w:ascii="Arial" w:hAnsi="Arial" w:cs="Arial"/>
          <w:color w:val="000000" w:themeColor="text1"/>
        </w:rPr>
        <w:t>…</w:t>
      </w:r>
    </w:p>
    <w:p w14:paraId="171E5B6E" w14:textId="77777777" w:rsidR="00670A05" w:rsidRPr="0085320C" w:rsidRDefault="00670A05" w:rsidP="00670A05">
      <w:pPr>
        <w:spacing w:line="360" w:lineRule="auto"/>
        <w:rPr>
          <w:rFonts w:ascii="Arial" w:hAnsi="Arial" w:cs="Arial"/>
          <w:color w:val="000000" w:themeColor="text1"/>
        </w:rPr>
      </w:pPr>
      <w:r w:rsidRPr="0085320C">
        <w:rPr>
          <w:rFonts w:ascii="Arial" w:hAnsi="Arial" w:cs="Arial"/>
          <w:b/>
          <w:color w:val="000000" w:themeColor="text1"/>
        </w:rPr>
        <w:t>VII.-</w:t>
      </w:r>
      <w:r w:rsidRPr="0085320C">
        <w:rPr>
          <w:rFonts w:ascii="Arial" w:hAnsi="Arial" w:cs="Arial"/>
          <w:color w:val="000000" w:themeColor="text1"/>
        </w:rPr>
        <w:t xml:space="preserve"> a la </w:t>
      </w:r>
      <w:r w:rsidRPr="0085320C">
        <w:rPr>
          <w:rFonts w:ascii="Arial" w:hAnsi="Arial" w:cs="Arial"/>
          <w:b/>
          <w:color w:val="000000" w:themeColor="text1"/>
        </w:rPr>
        <w:t>XI.-</w:t>
      </w:r>
      <w:r w:rsidRPr="0085320C">
        <w:rPr>
          <w:rFonts w:ascii="Arial" w:hAnsi="Arial" w:cs="Arial"/>
          <w:color w:val="000000" w:themeColor="text1"/>
        </w:rPr>
        <w:t xml:space="preserve"> …</w:t>
      </w:r>
    </w:p>
    <w:p w14:paraId="02A636F3" w14:textId="77777777" w:rsidR="00670A05" w:rsidRPr="0085320C" w:rsidRDefault="00670A05" w:rsidP="00670A05">
      <w:pPr>
        <w:spacing w:line="360" w:lineRule="auto"/>
        <w:rPr>
          <w:rFonts w:ascii="Arial" w:hAnsi="Arial" w:cs="Arial"/>
          <w:color w:val="000000" w:themeColor="text1"/>
        </w:rPr>
      </w:pPr>
      <w:r w:rsidRPr="0085320C">
        <w:rPr>
          <w:rFonts w:ascii="Arial" w:hAnsi="Arial" w:cs="Arial"/>
          <w:b/>
          <w:color w:val="000000" w:themeColor="text1"/>
        </w:rPr>
        <w:t>XII.-</w:t>
      </w:r>
      <w:r w:rsidRPr="0085320C">
        <w:rPr>
          <w:rFonts w:ascii="Arial" w:hAnsi="Arial" w:cs="Arial"/>
          <w:color w:val="000000" w:themeColor="text1"/>
        </w:rPr>
        <w:t xml:space="preserve"> Se deroga.</w:t>
      </w:r>
    </w:p>
    <w:p w14:paraId="3D96AD4B" w14:textId="77777777" w:rsidR="00670A05" w:rsidRPr="0085320C" w:rsidRDefault="00670A05" w:rsidP="00670A05">
      <w:pPr>
        <w:spacing w:line="360" w:lineRule="auto"/>
        <w:rPr>
          <w:rFonts w:ascii="Arial" w:hAnsi="Arial" w:cs="Arial"/>
          <w:color w:val="000000" w:themeColor="text1"/>
        </w:rPr>
      </w:pPr>
    </w:p>
    <w:p w14:paraId="5882E5BF" w14:textId="77777777" w:rsidR="00670A05" w:rsidRPr="0085320C" w:rsidRDefault="00670A05" w:rsidP="00670A05">
      <w:pPr>
        <w:spacing w:line="360" w:lineRule="auto"/>
        <w:rPr>
          <w:rFonts w:ascii="Arial" w:hAnsi="Arial" w:cs="Arial"/>
          <w:color w:val="000000" w:themeColor="text1"/>
        </w:rPr>
      </w:pPr>
      <w:r w:rsidRPr="0085320C">
        <w:rPr>
          <w:rFonts w:ascii="Arial" w:hAnsi="Arial" w:cs="Arial"/>
          <w:b/>
          <w:color w:val="000000" w:themeColor="text1"/>
        </w:rPr>
        <w:t>XIII.-</w:t>
      </w:r>
      <w:r w:rsidRPr="0085320C">
        <w:rPr>
          <w:rFonts w:ascii="Arial" w:hAnsi="Arial" w:cs="Arial"/>
          <w:color w:val="000000" w:themeColor="text1"/>
        </w:rPr>
        <w:t xml:space="preserve"> Se deroga.</w:t>
      </w:r>
    </w:p>
    <w:p w14:paraId="30B4B684" w14:textId="77777777" w:rsidR="00670A05" w:rsidRPr="0085320C" w:rsidRDefault="00670A05" w:rsidP="00670A05">
      <w:pPr>
        <w:spacing w:line="360" w:lineRule="auto"/>
        <w:rPr>
          <w:rFonts w:ascii="Arial" w:hAnsi="Arial" w:cs="Arial"/>
          <w:color w:val="000000" w:themeColor="text1"/>
        </w:rPr>
      </w:pPr>
    </w:p>
    <w:p w14:paraId="1FCAAF89" w14:textId="77777777" w:rsidR="00670A05" w:rsidRPr="0085320C" w:rsidRDefault="00670A05" w:rsidP="00670A05">
      <w:pPr>
        <w:spacing w:line="360" w:lineRule="auto"/>
        <w:rPr>
          <w:rFonts w:ascii="Arial" w:hAnsi="Arial" w:cs="Arial"/>
          <w:color w:val="000000" w:themeColor="text1"/>
        </w:rPr>
      </w:pPr>
      <w:r w:rsidRPr="0085320C">
        <w:rPr>
          <w:rFonts w:ascii="Arial" w:hAnsi="Arial" w:cs="Arial"/>
          <w:b/>
          <w:color w:val="000000" w:themeColor="text1"/>
        </w:rPr>
        <w:t>XIV.-</w:t>
      </w:r>
      <w:r w:rsidRPr="0085320C">
        <w:rPr>
          <w:rFonts w:ascii="Arial" w:hAnsi="Arial" w:cs="Arial"/>
          <w:color w:val="000000" w:themeColor="text1"/>
        </w:rPr>
        <w:t xml:space="preserve"> a la </w:t>
      </w:r>
      <w:r w:rsidRPr="0085320C">
        <w:rPr>
          <w:rFonts w:ascii="Arial" w:hAnsi="Arial" w:cs="Arial"/>
          <w:b/>
          <w:color w:val="000000" w:themeColor="text1"/>
        </w:rPr>
        <w:t>XX.-</w:t>
      </w:r>
      <w:r w:rsidRPr="0085320C">
        <w:rPr>
          <w:rFonts w:ascii="Arial" w:hAnsi="Arial" w:cs="Arial"/>
          <w:color w:val="000000" w:themeColor="text1"/>
        </w:rPr>
        <w:t xml:space="preserve"> …</w:t>
      </w:r>
    </w:p>
    <w:p w14:paraId="3DBCDC7B" w14:textId="77777777" w:rsidR="00670A05" w:rsidRPr="0085320C" w:rsidRDefault="00670A05" w:rsidP="00670A05">
      <w:pPr>
        <w:spacing w:line="360" w:lineRule="auto"/>
        <w:rPr>
          <w:rFonts w:ascii="Arial" w:hAnsi="Arial" w:cs="Arial"/>
          <w:color w:val="000000" w:themeColor="text1"/>
        </w:rPr>
      </w:pPr>
    </w:p>
    <w:p w14:paraId="11633FFD" w14:textId="77777777" w:rsidR="00670A05" w:rsidRPr="0085320C" w:rsidRDefault="00670A05" w:rsidP="00670A05">
      <w:pPr>
        <w:spacing w:line="360" w:lineRule="auto"/>
        <w:rPr>
          <w:rFonts w:ascii="Arial" w:hAnsi="Arial" w:cs="Arial"/>
          <w:color w:val="000000" w:themeColor="text1"/>
        </w:rPr>
      </w:pPr>
      <w:r w:rsidRPr="0085320C">
        <w:rPr>
          <w:rFonts w:ascii="Arial" w:hAnsi="Arial" w:cs="Arial"/>
          <w:color w:val="000000" w:themeColor="text1"/>
        </w:rPr>
        <w:t>Quedan exceptuados de la competencia del tribunal los medios de impugnación en las materias de transparencia, acceso a la información y protección de datos personales.</w:t>
      </w:r>
    </w:p>
    <w:p w14:paraId="279A9691" w14:textId="77777777" w:rsidR="00670A05" w:rsidRPr="0085320C" w:rsidRDefault="00670A05" w:rsidP="00670A05">
      <w:pPr>
        <w:spacing w:line="360" w:lineRule="auto"/>
        <w:rPr>
          <w:rFonts w:ascii="Arial" w:hAnsi="Arial" w:cs="Arial"/>
          <w:color w:val="000000" w:themeColor="text1"/>
        </w:rPr>
      </w:pPr>
      <w:r w:rsidRPr="0085320C">
        <w:rPr>
          <w:rFonts w:ascii="Arial" w:hAnsi="Arial" w:cs="Arial"/>
          <w:color w:val="000000" w:themeColor="text1"/>
        </w:rPr>
        <w:t>…</w:t>
      </w:r>
    </w:p>
    <w:p w14:paraId="708F015B" w14:textId="77777777" w:rsidR="00670A05" w:rsidRPr="0085320C" w:rsidRDefault="00670A05" w:rsidP="00670A05">
      <w:pPr>
        <w:spacing w:line="360" w:lineRule="auto"/>
        <w:rPr>
          <w:rFonts w:ascii="Arial" w:hAnsi="Arial" w:cs="Arial"/>
          <w:color w:val="000000" w:themeColor="text1"/>
        </w:rPr>
      </w:pPr>
      <w:r w:rsidRPr="0085320C">
        <w:rPr>
          <w:rFonts w:ascii="Arial" w:hAnsi="Arial" w:cs="Arial"/>
          <w:color w:val="000000" w:themeColor="text1"/>
        </w:rPr>
        <w:t>…</w:t>
      </w:r>
    </w:p>
    <w:p w14:paraId="3933E13E" w14:textId="77777777" w:rsidR="00670A05" w:rsidRPr="0085320C" w:rsidRDefault="00670A05" w:rsidP="00670A05">
      <w:pPr>
        <w:spacing w:line="360" w:lineRule="auto"/>
        <w:rPr>
          <w:rFonts w:ascii="Arial" w:hAnsi="Arial" w:cs="Arial"/>
          <w:color w:val="000000" w:themeColor="text1"/>
        </w:rPr>
      </w:pPr>
      <w:r w:rsidRPr="0085320C">
        <w:rPr>
          <w:rFonts w:ascii="Arial" w:hAnsi="Arial" w:cs="Arial"/>
          <w:color w:val="000000" w:themeColor="text1"/>
        </w:rPr>
        <w:t>…</w:t>
      </w:r>
    </w:p>
    <w:p w14:paraId="1654D1A1" w14:textId="77777777" w:rsidR="00670A05" w:rsidRPr="0085320C" w:rsidRDefault="00670A05" w:rsidP="00670A05">
      <w:pPr>
        <w:spacing w:line="360" w:lineRule="auto"/>
        <w:rPr>
          <w:rFonts w:ascii="Arial" w:hAnsi="Arial" w:cs="Arial"/>
          <w:color w:val="000000" w:themeColor="text1"/>
        </w:rPr>
      </w:pPr>
      <w:r w:rsidRPr="0085320C">
        <w:rPr>
          <w:rFonts w:ascii="Arial" w:hAnsi="Arial" w:cs="Arial"/>
          <w:b/>
          <w:color w:val="000000" w:themeColor="text1"/>
        </w:rPr>
        <w:t>Artículo 12.</w:t>
      </w:r>
      <w:r>
        <w:rPr>
          <w:rFonts w:ascii="Arial" w:hAnsi="Arial" w:cs="Arial"/>
          <w:color w:val="000000" w:themeColor="text1"/>
        </w:rPr>
        <w:t xml:space="preserve"> </w:t>
      </w:r>
      <w:r w:rsidRPr="0085320C">
        <w:rPr>
          <w:rFonts w:ascii="Arial" w:hAnsi="Arial" w:cs="Arial"/>
          <w:b/>
          <w:bCs/>
          <w:color w:val="000000" w:themeColor="text1"/>
        </w:rPr>
        <w:t>Regulación adjetiva</w:t>
      </w:r>
    </w:p>
    <w:p w14:paraId="4EFAD99D" w14:textId="77777777" w:rsidR="00670A05" w:rsidRPr="0085320C" w:rsidRDefault="00670A05" w:rsidP="00670A05">
      <w:pPr>
        <w:spacing w:line="360" w:lineRule="auto"/>
        <w:rPr>
          <w:rFonts w:ascii="Arial" w:hAnsi="Arial" w:cs="Arial"/>
          <w:color w:val="000000" w:themeColor="text1"/>
        </w:rPr>
      </w:pPr>
      <w:r w:rsidRPr="0085320C">
        <w:rPr>
          <w:rFonts w:ascii="Arial" w:hAnsi="Arial" w:cs="Arial"/>
          <w:color w:val="000000" w:themeColor="text1"/>
        </w:rPr>
        <w:t>…</w:t>
      </w:r>
    </w:p>
    <w:p w14:paraId="087B4ADC" w14:textId="77777777" w:rsidR="00670A05" w:rsidRPr="0085320C" w:rsidRDefault="00670A05" w:rsidP="00670A05">
      <w:pPr>
        <w:spacing w:line="360" w:lineRule="auto"/>
        <w:rPr>
          <w:rFonts w:ascii="Arial" w:hAnsi="Arial" w:cs="Arial"/>
          <w:color w:val="000000" w:themeColor="text1"/>
        </w:rPr>
      </w:pPr>
      <w:r w:rsidRPr="0085320C">
        <w:rPr>
          <w:rFonts w:ascii="Arial" w:hAnsi="Arial" w:cs="Arial"/>
          <w:color w:val="000000" w:themeColor="text1"/>
        </w:rPr>
        <w:t>A falta de disposición expresa, y en cuanto no se oponga a lo que prescribe la Ley de lo Contencioso Administrativo del Estado de Yucatán, se estará a lo establecido en el Código Nacional de Procedimientos Civiles y Familiares.</w:t>
      </w:r>
    </w:p>
    <w:p w14:paraId="7CF37FD5" w14:textId="77777777" w:rsidR="00670A05" w:rsidRPr="0085320C" w:rsidRDefault="00670A05" w:rsidP="00670A05">
      <w:pPr>
        <w:spacing w:line="360" w:lineRule="auto"/>
        <w:rPr>
          <w:rFonts w:ascii="Arial" w:hAnsi="Arial" w:cs="Arial"/>
          <w:color w:val="000000" w:themeColor="text1"/>
        </w:rPr>
      </w:pPr>
    </w:p>
    <w:p w14:paraId="247C0B23" w14:textId="77777777" w:rsidR="00670A05" w:rsidRPr="0085320C" w:rsidRDefault="00670A05" w:rsidP="00670A05">
      <w:pPr>
        <w:spacing w:line="360" w:lineRule="auto"/>
        <w:rPr>
          <w:rFonts w:ascii="Arial" w:hAnsi="Arial" w:cs="Arial"/>
          <w:color w:val="000000" w:themeColor="text1"/>
        </w:rPr>
      </w:pPr>
      <w:r w:rsidRPr="0085320C">
        <w:rPr>
          <w:rFonts w:ascii="Arial" w:hAnsi="Arial" w:cs="Arial"/>
          <w:b/>
          <w:color w:val="000000" w:themeColor="text1"/>
        </w:rPr>
        <w:t>Artículo 15.</w:t>
      </w:r>
      <w:r w:rsidRPr="0085320C">
        <w:rPr>
          <w:rFonts w:ascii="Arial" w:hAnsi="Arial" w:cs="Arial"/>
          <w:color w:val="000000" w:themeColor="text1"/>
        </w:rPr>
        <w:t xml:space="preserve"> </w:t>
      </w:r>
      <w:r w:rsidRPr="0085320C">
        <w:rPr>
          <w:rFonts w:ascii="Arial" w:hAnsi="Arial" w:cs="Arial"/>
          <w:b/>
          <w:color w:val="000000" w:themeColor="text1"/>
        </w:rPr>
        <w:t>Atribuciones del Pleno</w:t>
      </w:r>
    </w:p>
    <w:p w14:paraId="45C401D3" w14:textId="77777777" w:rsidR="00670A05" w:rsidRPr="0085320C" w:rsidRDefault="00670A05" w:rsidP="00670A05">
      <w:pPr>
        <w:spacing w:line="360" w:lineRule="auto"/>
        <w:rPr>
          <w:rFonts w:ascii="Arial" w:hAnsi="Arial" w:cs="Arial"/>
          <w:color w:val="000000" w:themeColor="text1"/>
        </w:rPr>
      </w:pPr>
      <w:r w:rsidRPr="0085320C">
        <w:rPr>
          <w:rFonts w:ascii="Arial" w:hAnsi="Arial" w:cs="Arial"/>
          <w:color w:val="000000" w:themeColor="text1"/>
        </w:rPr>
        <w:t>…</w:t>
      </w:r>
    </w:p>
    <w:p w14:paraId="0B86D9C4" w14:textId="77777777" w:rsidR="00670A05" w:rsidRPr="0085320C" w:rsidRDefault="00670A05" w:rsidP="00670A05">
      <w:pPr>
        <w:spacing w:line="360" w:lineRule="auto"/>
        <w:rPr>
          <w:rFonts w:ascii="Arial" w:hAnsi="Arial" w:cs="Arial"/>
          <w:color w:val="000000" w:themeColor="text1"/>
        </w:rPr>
      </w:pPr>
      <w:r w:rsidRPr="0085320C">
        <w:rPr>
          <w:rFonts w:ascii="Arial" w:hAnsi="Arial" w:cs="Arial"/>
          <w:b/>
          <w:color w:val="000000" w:themeColor="text1"/>
        </w:rPr>
        <w:t>I.-</w:t>
      </w:r>
      <w:r w:rsidRPr="0085320C">
        <w:rPr>
          <w:rFonts w:ascii="Arial" w:hAnsi="Arial" w:cs="Arial"/>
          <w:color w:val="000000" w:themeColor="text1"/>
        </w:rPr>
        <w:t xml:space="preserve"> a la </w:t>
      </w:r>
      <w:r w:rsidRPr="0085320C">
        <w:rPr>
          <w:rFonts w:ascii="Arial" w:hAnsi="Arial" w:cs="Arial"/>
          <w:b/>
          <w:color w:val="000000" w:themeColor="text1"/>
        </w:rPr>
        <w:t>IX.-</w:t>
      </w:r>
      <w:r w:rsidRPr="0085320C">
        <w:rPr>
          <w:rFonts w:ascii="Arial" w:hAnsi="Arial" w:cs="Arial"/>
          <w:color w:val="000000" w:themeColor="text1"/>
        </w:rPr>
        <w:t xml:space="preserve"> …</w:t>
      </w:r>
    </w:p>
    <w:p w14:paraId="4F5CED13" w14:textId="77777777" w:rsidR="00670A05" w:rsidRPr="0085320C" w:rsidRDefault="00670A05" w:rsidP="00670A05">
      <w:pPr>
        <w:spacing w:line="360" w:lineRule="auto"/>
        <w:rPr>
          <w:rFonts w:ascii="Arial" w:hAnsi="Arial" w:cs="Arial"/>
          <w:color w:val="000000" w:themeColor="text1"/>
        </w:rPr>
      </w:pPr>
      <w:r w:rsidRPr="0085320C">
        <w:rPr>
          <w:rFonts w:ascii="Arial" w:hAnsi="Arial" w:cs="Arial"/>
          <w:b/>
          <w:color w:val="000000" w:themeColor="text1"/>
        </w:rPr>
        <w:t>X.-</w:t>
      </w:r>
      <w:r w:rsidRPr="0085320C">
        <w:rPr>
          <w:rFonts w:ascii="Arial" w:hAnsi="Arial" w:cs="Arial"/>
          <w:color w:val="000000" w:themeColor="text1"/>
        </w:rPr>
        <w:t xml:space="preserve"> Se deroga.</w:t>
      </w:r>
    </w:p>
    <w:p w14:paraId="3AFFC692" w14:textId="77777777" w:rsidR="00670A05" w:rsidRPr="0085320C" w:rsidRDefault="00670A05" w:rsidP="00670A05">
      <w:pPr>
        <w:spacing w:line="360" w:lineRule="auto"/>
        <w:rPr>
          <w:rFonts w:ascii="Arial" w:hAnsi="Arial" w:cs="Arial"/>
          <w:color w:val="000000" w:themeColor="text1"/>
        </w:rPr>
      </w:pPr>
      <w:r w:rsidRPr="0085320C">
        <w:rPr>
          <w:rFonts w:ascii="Arial" w:hAnsi="Arial" w:cs="Arial"/>
          <w:b/>
          <w:color w:val="000000" w:themeColor="text1"/>
        </w:rPr>
        <w:t>XI.-</w:t>
      </w:r>
      <w:r w:rsidRPr="0085320C">
        <w:rPr>
          <w:rFonts w:ascii="Arial" w:hAnsi="Arial" w:cs="Arial"/>
          <w:color w:val="000000" w:themeColor="text1"/>
        </w:rPr>
        <w:t xml:space="preserve"> a la </w:t>
      </w:r>
      <w:r w:rsidRPr="0085320C">
        <w:rPr>
          <w:rFonts w:ascii="Arial" w:hAnsi="Arial" w:cs="Arial"/>
          <w:b/>
          <w:color w:val="000000" w:themeColor="text1"/>
        </w:rPr>
        <w:t>XXVII.-</w:t>
      </w:r>
      <w:r w:rsidRPr="0085320C">
        <w:rPr>
          <w:rFonts w:ascii="Arial" w:hAnsi="Arial" w:cs="Arial"/>
          <w:color w:val="000000" w:themeColor="text1"/>
        </w:rPr>
        <w:t xml:space="preserve"> …</w:t>
      </w:r>
    </w:p>
    <w:p w14:paraId="0171B29F" w14:textId="77777777" w:rsidR="00670A05" w:rsidRPr="0085320C" w:rsidRDefault="00670A05" w:rsidP="00670A05">
      <w:pPr>
        <w:spacing w:line="360" w:lineRule="auto"/>
        <w:rPr>
          <w:rFonts w:ascii="Arial" w:hAnsi="Arial" w:cs="Arial"/>
          <w:color w:val="000000" w:themeColor="text1"/>
        </w:rPr>
      </w:pPr>
      <w:r w:rsidRPr="0085320C">
        <w:rPr>
          <w:rFonts w:ascii="Arial" w:hAnsi="Arial" w:cs="Arial"/>
          <w:b/>
          <w:color w:val="000000" w:themeColor="text1"/>
        </w:rPr>
        <w:t>XXVIII.-</w:t>
      </w:r>
      <w:r w:rsidRPr="0085320C">
        <w:rPr>
          <w:rFonts w:ascii="Arial" w:hAnsi="Arial" w:cs="Arial"/>
          <w:color w:val="000000" w:themeColor="text1"/>
        </w:rPr>
        <w:t xml:space="preserve"> Se deroga.</w:t>
      </w:r>
    </w:p>
    <w:p w14:paraId="01DE409A" w14:textId="77777777" w:rsidR="00670A05" w:rsidRPr="0085320C" w:rsidRDefault="00670A05" w:rsidP="00670A05">
      <w:pPr>
        <w:spacing w:line="360" w:lineRule="auto"/>
        <w:rPr>
          <w:rFonts w:ascii="Arial" w:hAnsi="Arial" w:cs="Arial"/>
          <w:color w:val="000000" w:themeColor="text1"/>
        </w:rPr>
      </w:pPr>
      <w:r w:rsidRPr="0085320C">
        <w:rPr>
          <w:rFonts w:ascii="Arial" w:hAnsi="Arial" w:cs="Arial"/>
          <w:b/>
          <w:color w:val="000000" w:themeColor="text1"/>
        </w:rPr>
        <w:t>XXIX.-</w:t>
      </w:r>
      <w:r w:rsidRPr="0085320C">
        <w:rPr>
          <w:rFonts w:ascii="Arial" w:hAnsi="Arial" w:cs="Arial"/>
          <w:color w:val="000000" w:themeColor="text1"/>
        </w:rPr>
        <w:t xml:space="preserve"> a la </w:t>
      </w:r>
      <w:r w:rsidRPr="0085320C">
        <w:rPr>
          <w:rFonts w:ascii="Arial" w:hAnsi="Arial" w:cs="Arial"/>
          <w:b/>
          <w:color w:val="000000" w:themeColor="text1"/>
        </w:rPr>
        <w:t>XXXVI.-</w:t>
      </w:r>
      <w:r w:rsidRPr="0085320C">
        <w:rPr>
          <w:rFonts w:ascii="Arial" w:hAnsi="Arial" w:cs="Arial"/>
          <w:color w:val="000000" w:themeColor="text1"/>
        </w:rPr>
        <w:t xml:space="preserve"> …</w:t>
      </w:r>
    </w:p>
    <w:p w14:paraId="46610852" w14:textId="77777777" w:rsidR="00670A05" w:rsidRPr="0085320C" w:rsidRDefault="00670A05" w:rsidP="00670A05">
      <w:pPr>
        <w:spacing w:line="360" w:lineRule="auto"/>
        <w:rPr>
          <w:rFonts w:ascii="Arial" w:hAnsi="Arial" w:cs="Arial"/>
          <w:color w:val="000000" w:themeColor="text1"/>
        </w:rPr>
      </w:pPr>
      <w:r w:rsidRPr="0085320C">
        <w:rPr>
          <w:rFonts w:ascii="Arial" w:hAnsi="Arial" w:cs="Arial"/>
          <w:b/>
          <w:color w:val="000000" w:themeColor="text1"/>
        </w:rPr>
        <w:t>XXXVII.-</w:t>
      </w:r>
      <w:r w:rsidRPr="0085320C">
        <w:rPr>
          <w:rFonts w:ascii="Arial" w:hAnsi="Arial" w:cs="Arial"/>
          <w:color w:val="000000" w:themeColor="text1"/>
        </w:rPr>
        <w:t xml:space="preserve"> Aprobar la creación de las comisiones o comités que estime convenientes, con carácter permanente o transitorio, para el adecuado funcionamiento del tribunal.</w:t>
      </w:r>
    </w:p>
    <w:p w14:paraId="138915DB" w14:textId="77777777" w:rsidR="00670A05" w:rsidRPr="0085320C" w:rsidRDefault="00670A05" w:rsidP="00670A05">
      <w:pPr>
        <w:spacing w:line="360" w:lineRule="auto"/>
        <w:rPr>
          <w:rFonts w:ascii="Arial" w:hAnsi="Arial" w:cs="Arial"/>
          <w:color w:val="000000" w:themeColor="text1"/>
        </w:rPr>
      </w:pPr>
      <w:r w:rsidRPr="0085320C">
        <w:rPr>
          <w:rFonts w:ascii="Arial" w:hAnsi="Arial" w:cs="Arial"/>
          <w:b/>
          <w:color w:val="000000" w:themeColor="text1"/>
        </w:rPr>
        <w:t>XXXVIII.-</w:t>
      </w:r>
      <w:r w:rsidRPr="0085320C">
        <w:rPr>
          <w:rFonts w:ascii="Arial" w:hAnsi="Arial" w:cs="Arial"/>
          <w:color w:val="000000" w:themeColor="text1"/>
        </w:rPr>
        <w:t xml:space="preserve"> y </w:t>
      </w:r>
      <w:r w:rsidRPr="0085320C">
        <w:rPr>
          <w:rFonts w:ascii="Arial" w:hAnsi="Arial" w:cs="Arial"/>
          <w:b/>
          <w:color w:val="000000" w:themeColor="text1"/>
        </w:rPr>
        <w:t>XXXIX.-</w:t>
      </w:r>
      <w:r w:rsidRPr="0085320C">
        <w:rPr>
          <w:rFonts w:ascii="Arial" w:hAnsi="Arial" w:cs="Arial"/>
          <w:color w:val="000000" w:themeColor="text1"/>
        </w:rPr>
        <w:t xml:space="preserve"> …</w:t>
      </w:r>
    </w:p>
    <w:p w14:paraId="0D18388C" w14:textId="77777777" w:rsidR="00670A05" w:rsidRPr="0085320C" w:rsidRDefault="00670A05" w:rsidP="00670A05">
      <w:pPr>
        <w:spacing w:line="360" w:lineRule="auto"/>
        <w:rPr>
          <w:rFonts w:ascii="Arial" w:hAnsi="Arial" w:cs="Arial"/>
          <w:color w:val="000000" w:themeColor="text1"/>
        </w:rPr>
      </w:pPr>
    </w:p>
    <w:p w14:paraId="753DF8FF" w14:textId="77777777" w:rsidR="00670A05" w:rsidRPr="0085320C" w:rsidRDefault="00670A05" w:rsidP="00670A05">
      <w:pPr>
        <w:spacing w:line="360" w:lineRule="auto"/>
        <w:rPr>
          <w:rFonts w:ascii="Arial" w:hAnsi="Arial" w:cs="Arial"/>
          <w:b/>
          <w:color w:val="000000" w:themeColor="text1"/>
        </w:rPr>
      </w:pPr>
      <w:r w:rsidRPr="0085320C">
        <w:rPr>
          <w:rFonts w:ascii="Arial" w:hAnsi="Arial" w:cs="Arial"/>
          <w:b/>
          <w:color w:val="000000" w:themeColor="text1"/>
        </w:rPr>
        <w:t>Artículo 21. Requisitos para ser magistrado</w:t>
      </w:r>
    </w:p>
    <w:p w14:paraId="658639EF" w14:textId="77777777" w:rsidR="00670A05" w:rsidRPr="0085320C" w:rsidRDefault="00670A05" w:rsidP="00670A05">
      <w:pPr>
        <w:spacing w:line="360" w:lineRule="auto"/>
        <w:rPr>
          <w:rFonts w:ascii="Arial" w:hAnsi="Arial" w:cs="Arial"/>
          <w:color w:val="000000" w:themeColor="text1"/>
        </w:rPr>
      </w:pPr>
      <w:r w:rsidRPr="0085320C">
        <w:rPr>
          <w:rFonts w:ascii="Arial" w:hAnsi="Arial" w:cs="Arial"/>
          <w:color w:val="000000" w:themeColor="text1"/>
        </w:rPr>
        <w:t>Para ser designado magistrado del tribunal se deberán cumplir los requisitos que establece la Constitución Política del Estado de Yucatán.</w:t>
      </w:r>
    </w:p>
    <w:p w14:paraId="696963DB" w14:textId="77777777" w:rsidR="00670A05" w:rsidRPr="0085320C" w:rsidRDefault="00670A05" w:rsidP="00670A05">
      <w:pPr>
        <w:spacing w:line="360" w:lineRule="auto"/>
        <w:rPr>
          <w:rFonts w:ascii="Arial" w:hAnsi="Arial" w:cs="Arial"/>
          <w:b/>
          <w:color w:val="000000" w:themeColor="text1"/>
        </w:rPr>
      </w:pPr>
      <w:r w:rsidRPr="0085320C">
        <w:rPr>
          <w:rFonts w:ascii="Arial" w:hAnsi="Arial" w:cs="Arial"/>
          <w:b/>
          <w:color w:val="000000" w:themeColor="text1"/>
        </w:rPr>
        <w:t>Artículo 26. Renovación</w:t>
      </w:r>
    </w:p>
    <w:p w14:paraId="0B28C731" w14:textId="77777777" w:rsidR="00670A05" w:rsidRPr="0085320C" w:rsidRDefault="00670A05" w:rsidP="00670A05">
      <w:pPr>
        <w:spacing w:line="360" w:lineRule="auto"/>
        <w:rPr>
          <w:rFonts w:ascii="Arial" w:hAnsi="Arial" w:cs="Arial"/>
          <w:color w:val="000000" w:themeColor="text1"/>
        </w:rPr>
      </w:pPr>
      <w:r w:rsidRPr="0085320C">
        <w:rPr>
          <w:rFonts w:ascii="Arial" w:hAnsi="Arial" w:cs="Arial"/>
          <w:color w:val="000000" w:themeColor="text1"/>
        </w:rPr>
        <w:t>Cuando las personas magistradas estén por concluir el periodo para el que hayan sido nombradas, el pleno del tribunal mediante oficio, lo hará saber al Congreso del Estado, noventa días antes del vencimiento del nombramiento, para que este, a su vez, solicite a la persona titular del Poder Ejecutivo que proceda de conformidad con el párrafo segundo del artículo 75 Quater de la Constitución Política del Estado de Yucatán.</w:t>
      </w:r>
    </w:p>
    <w:p w14:paraId="366E553A" w14:textId="77777777" w:rsidR="00670A05" w:rsidRPr="0085320C" w:rsidRDefault="00670A05" w:rsidP="00670A05">
      <w:pPr>
        <w:spacing w:line="360" w:lineRule="auto"/>
        <w:rPr>
          <w:rFonts w:ascii="Arial" w:hAnsi="Arial" w:cs="Arial"/>
          <w:b/>
          <w:color w:val="000000" w:themeColor="text1"/>
        </w:rPr>
      </w:pPr>
      <w:r w:rsidRPr="0085320C">
        <w:rPr>
          <w:rFonts w:ascii="Arial" w:hAnsi="Arial" w:cs="Arial"/>
          <w:b/>
          <w:color w:val="000000" w:themeColor="text1"/>
        </w:rPr>
        <w:t>Artículo 29. Ausencia temporal o suplencia en Pleno</w:t>
      </w:r>
    </w:p>
    <w:p w14:paraId="41C87547" w14:textId="77777777" w:rsidR="00670A05" w:rsidRPr="0085320C" w:rsidRDefault="00670A05" w:rsidP="00670A05">
      <w:pPr>
        <w:spacing w:line="360" w:lineRule="auto"/>
        <w:rPr>
          <w:rFonts w:ascii="Arial" w:hAnsi="Arial" w:cs="Arial"/>
          <w:color w:val="000000" w:themeColor="text1"/>
        </w:rPr>
      </w:pPr>
      <w:r w:rsidRPr="0085320C">
        <w:rPr>
          <w:rFonts w:ascii="Arial" w:hAnsi="Arial" w:cs="Arial"/>
          <w:color w:val="000000" w:themeColor="text1"/>
        </w:rPr>
        <w:t>En caso de ausencia temporal de una persona magistrada que no exceda de un mes, o para suplencia en pleno, la función será cubierta por la persona servidora pública del tribunal que determine el pleno. Quienes se desempeñen como personas magistradas suplentes tendrán las mismas facultades y atribuciones que establece la ley para las personas magistradas titulares.</w:t>
      </w:r>
    </w:p>
    <w:p w14:paraId="4247EB27" w14:textId="77777777" w:rsidR="00670A05" w:rsidRPr="0085320C" w:rsidRDefault="00670A05" w:rsidP="00670A05">
      <w:pPr>
        <w:spacing w:line="360" w:lineRule="auto"/>
        <w:rPr>
          <w:rFonts w:ascii="Arial" w:hAnsi="Arial" w:cs="Arial"/>
          <w:b/>
          <w:color w:val="000000" w:themeColor="text1"/>
        </w:rPr>
      </w:pPr>
      <w:r w:rsidRPr="0085320C">
        <w:rPr>
          <w:rFonts w:ascii="Arial" w:hAnsi="Arial" w:cs="Arial"/>
          <w:b/>
          <w:color w:val="000000" w:themeColor="text1"/>
        </w:rPr>
        <w:t>Artículo 30. Falta absoluta</w:t>
      </w:r>
    </w:p>
    <w:p w14:paraId="5C150026" w14:textId="77777777" w:rsidR="00670A05" w:rsidRPr="0085320C" w:rsidRDefault="00670A05" w:rsidP="00670A05">
      <w:pPr>
        <w:spacing w:line="360" w:lineRule="auto"/>
        <w:rPr>
          <w:rFonts w:ascii="Arial" w:hAnsi="Arial" w:cs="Arial"/>
          <w:color w:val="000000" w:themeColor="text1"/>
        </w:rPr>
      </w:pPr>
      <w:r w:rsidRPr="0085320C">
        <w:rPr>
          <w:rFonts w:ascii="Arial" w:hAnsi="Arial" w:cs="Arial"/>
          <w:color w:val="000000" w:themeColor="text1"/>
        </w:rPr>
        <w:t>En caso de ausencias injustificadas por un periodo mayor a un mes, por retiro forzoso, muerte, renuncia o destitución, se procederá en los términos del artículo 19.</w:t>
      </w:r>
    </w:p>
    <w:p w14:paraId="2CB38880" w14:textId="77777777" w:rsidR="00670A05" w:rsidRPr="0085320C" w:rsidRDefault="00670A05" w:rsidP="00670A05">
      <w:pPr>
        <w:spacing w:line="360" w:lineRule="auto"/>
        <w:rPr>
          <w:rFonts w:ascii="Arial" w:hAnsi="Arial" w:cs="Arial"/>
          <w:color w:val="000000" w:themeColor="text1"/>
        </w:rPr>
      </w:pPr>
      <w:r w:rsidRPr="0085320C">
        <w:rPr>
          <w:rFonts w:ascii="Arial" w:hAnsi="Arial" w:cs="Arial"/>
          <w:b/>
          <w:color w:val="000000" w:themeColor="text1"/>
        </w:rPr>
        <w:t>Artículo 40.</w:t>
      </w:r>
      <w:r w:rsidRPr="0085320C">
        <w:rPr>
          <w:rFonts w:ascii="Arial" w:hAnsi="Arial" w:cs="Arial"/>
          <w:color w:val="000000" w:themeColor="text1"/>
        </w:rPr>
        <w:t xml:space="preserve"> </w:t>
      </w:r>
      <w:r w:rsidRPr="0085320C">
        <w:rPr>
          <w:rFonts w:ascii="Arial" w:hAnsi="Arial" w:cs="Arial"/>
          <w:b/>
          <w:color w:val="000000" w:themeColor="text1"/>
        </w:rPr>
        <w:t>Requisitos</w:t>
      </w:r>
    </w:p>
    <w:p w14:paraId="7E88500B" w14:textId="77777777" w:rsidR="00670A05" w:rsidRPr="0085320C" w:rsidRDefault="00670A05" w:rsidP="00670A05">
      <w:pPr>
        <w:spacing w:line="360" w:lineRule="auto"/>
        <w:rPr>
          <w:rFonts w:ascii="Arial" w:hAnsi="Arial" w:cs="Arial"/>
          <w:color w:val="000000" w:themeColor="text1"/>
        </w:rPr>
      </w:pPr>
      <w:r w:rsidRPr="0085320C">
        <w:rPr>
          <w:rFonts w:ascii="Arial" w:hAnsi="Arial" w:cs="Arial"/>
          <w:color w:val="000000" w:themeColor="text1"/>
        </w:rPr>
        <w:t>…</w:t>
      </w:r>
    </w:p>
    <w:p w14:paraId="4E73A304" w14:textId="77777777" w:rsidR="00670A05" w:rsidRPr="0085320C" w:rsidRDefault="00670A05" w:rsidP="00670A05">
      <w:pPr>
        <w:spacing w:line="360" w:lineRule="auto"/>
        <w:rPr>
          <w:rFonts w:ascii="Arial" w:hAnsi="Arial" w:cs="Arial"/>
          <w:color w:val="000000" w:themeColor="text1"/>
        </w:rPr>
      </w:pPr>
      <w:r w:rsidRPr="0085320C">
        <w:rPr>
          <w:rFonts w:ascii="Arial" w:hAnsi="Arial" w:cs="Arial"/>
          <w:b/>
          <w:color w:val="000000" w:themeColor="text1"/>
        </w:rPr>
        <w:t>I.-</w:t>
      </w:r>
      <w:r w:rsidRPr="0085320C">
        <w:rPr>
          <w:rFonts w:ascii="Arial" w:hAnsi="Arial" w:cs="Arial"/>
          <w:color w:val="000000" w:themeColor="text1"/>
        </w:rPr>
        <w:t xml:space="preserve"> a la </w:t>
      </w:r>
      <w:r w:rsidRPr="0085320C">
        <w:rPr>
          <w:rFonts w:ascii="Arial" w:hAnsi="Arial" w:cs="Arial"/>
          <w:b/>
          <w:color w:val="000000" w:themeColor="text1"/>
        </w:rPr>
        <w:t>III.-</w:t>
      </w:r>
      <w:r w:rsidRPr="0085320C">
        <w:rPr>
          <w:rFonts w:ascii="Arial" w:hAnsi="Arial" w:cs="Arial"/>
          <w:color w:val="000000" w:themeColor="text1"/>
        </w:rPr>
        <w:t xml:space="preserve"> …</w:t>
      </w:r>
    </w:p>
    <w:p w14:paraId="4541B562" w14:textId="77777777" w:rsidR="00670A05" w:rsidRPr="0085320C" w:rsidRDefault="00670A05" w:rsidP="00670A05">
      <w:pPr>
        <w:spacing w:line="360" w:lineRule="auto"/>
        <w:rPr>
          <w:rFonts w:ascii="Arial" w:hAnsi="Arial" w:cs="Arial"/>
          <w:color w:val="000000" w:themeColor="text1"/>
        </w:rPr>
      </w:pPr>
      <w:r w:rsidRPr="0085320C">
        <w:rPr>
          <w:rFonts w:ascii="Arial" w:hAnsi="Arial" w:cs="Arial"/>
          <w:b/>
          <w:color w:val="000000" w:themeColor="text1"/>
        </w:rPr>
        <w:t>IV.-</w:t>
      </w:r>
      <w:r w:rsidRPr="0085320C">
        <w:rPr>
          <w:rFonts w:ascii="Arial" w:hAnsi="Arial" w:cs="Arial"/>
          <w:color w:val="000000" w:themeColor="text1"/>
        </w:rPr>
        <w:t xml:space="preserve"> Se deroga.</w:t>
      </w:r>
    </w:p>
    <w:p w14:paraId="04D83DC8" w14:textId="77777777" w:rsidR="00670A05" w:rsidRPr="0085320C" w:rsidRDefault="00670A05" w:rsidP="00670A05">
      <w:pPr>
        <w:spacing w:line="360" w:lineRule="auto"/>
        <w:rPr>
          <w:rFonts w:ascii="Arial" w:hAnsi="Arial" w:cs="Arial"/>
          <w:color w:val="000000" w:themeColor="text1"/>
        </w:rPr>
      </w:pPr>
      <w:r w:rsidRPr="0085320C">
        <w:rPr>
          <w:rFonts w:ascii="Arial" w:hAnsi="Arial" w:cs="Arial"/>
          <w:b/>
          <w:color w:val="000000" w:themeColor="text1"/>
        </w:rPr>
        <w:t>V.-</w:t>
      </w:r>
      <w:r w:rsidRPr="0085320C">
        <w:rPr>
          <w:rFonts w:ascii="Arial" w:hAnsi="Arial" w:cs="Arial"/>
          <w:color w:val="000000" w:themeColor="text1"/>
        </w:rPr>
        <w:t xml:space="preserve"> a la </w:t>
      </w:r>
      <w:r w:rsidRPr="0085320C">
        <w:rPr>
          <w:rFonts w:ascii="Arial" w:hAnsi="Arial" w:cs="Arial"/>
          <w:b/>
          <w:color w:val="000000" w:themeColor="text1"/>
        </w:rPr>
        <w:t>IX.-</w:t>
      </w:r>
      <w:r w:rsidRPr="0085320C">
        <w:rPr>
          <w:rFonts w:ascii="Arial" w:hAnsi="Arial" w:cs="Arial"/>
          <w:color w:val="000000" w:themeColor="text1"/>
        </w:rPr>
        <w:t xml:space="preserve"> …</w:t>
      </w:r>
    </w:p>
    <w:p w14:paraId="76C6D893" w14:textId="77777777" w:rsidR="00670A05" w:rsidRPr="0085320C" w:rsidRDefault="00670A05" w:rsidP="00670A05">
      <w:pPr>
        <w:spacing w:line="360" w:lineRule="auto"/>
        <w:rPr>
          <w:rFonts w:ascii="Arial" w:hAnsi="Arial" w:cs="Arial"/>
          <w:color w:val="000000" w:themeColor="text1"/>
        </w:rPr>
      </w:pPr>
    </w:p>
    <w:p w14:paraId="456F8513" w14:textId="77777777" w:rsidR="00670A05" w:rsidRPr="0085320C" w:rsidRDefault="00670A05" w:rsidP="00670A05">
      <w:pPr>
        <w:spacing w:line="360" w:lineRule="auto"/>
        <w:rPr>
          <w:rFonts w:ascii="Arial" w:hAnsi="Arial" w:cs="Arial"/>
          <w:color w:val="000000" w:themeColor="text1"/>
        </w:rPr>
      </w:pPr>
      <w:r w:rsidRPr="0085320C">
        <w:rPr>
          <w:rFonts w:ascii="Arial" w:hAnsi="Arial" w:cs="Arial"/>
          <w:b/>
          <w:color w:val="000000" w:themeColor="text1"/>
        </w:rPr>
        <w:t>Artículo 42.</w:t>
      </w:r>
      <w:r w:rsidRPr="0085320C">
        <w:rPr>
          <w:rFonts w:ascii="Arial" w:hAnsi="Arial" w:cs="Arial"/>
          <w:color w:val="000000" w:themeColor="text1"/>
        </w:rPr>
        <w:t xml:space="preserve"> </w:t>
      </w:r>
      <w:r w:rsidRPr="0085320C">
        <w:rPr>
          <w:rFonts w:ascii="Arial" w:hAnsi="Arial" w:cs="Arial"/>
          <w:b/>
          <w:color w:val="000000" w:themeColor="text1"/>
        </w:rPr>
        <w:t>Nombramiento y duración</w:t>
      </w:r>
    </w:p>
    <w:p w14:paraId="6251058A" w14:textId="77777777" w:rsidR="00670A05" w:rsidRPr="0085320C" w:rsidRDefault="00670A05" w:rsidP="00670A05">
      <w:pPr>
        <w:spacing w:line="360" w:lineRule="auto"/>
        <w:rPr>
          <w:rFonts w:ascii="Arial" w:hAnsi="Arial" w:cs="Arial"/>
          <w:color w:val="000000" w:themeColor="text1"/>
        </w:rPr>
      </w:pPr>
      <w:r w:rsidRPr="0085320C">
        <w:rPr>
          <w:rFonts w:ascii="Arial" w:hAnsi="Arial" w:cs="Arial"/>
          <w:color w:val="000000" w:themeColor="text1"/>
        </w:rPr>
        <w:t>El titular del órgano de control interno durará en su cargo cinco años y será elegido por el Congreso del estado, en términos de lo previsto en la Constitución Política del Estado de Yucatán.</w:t>
      </w:r>
    </w:p>
    <w:p w14:paraId="594E5E97" w14:textId="77777777" w:rsidR="00670A05" w:rsidRPr="0085320C" w:rsidRDefault="00670A05" w:rsidP="00670A05">
      <w:pPr>
        <w:spacing w:line="360" w:lineRule="auto"/>
        <w:rPr>
          <w:rFonts w:ascii="Arial" w:hAnsi="Arial" w:cs="Arial"/>
          <w:color w:val="000000" w:themeColor="text1"/>
        </w:rPr>
      </w:pPr>
      <w:r w:rsidRPr="0085320C">
        <w:rPr>
          <w:rFonts w:ascii="Arial" w:hAnsi="Arial" w:cs="Arial"/>
          <w:color w:val="000000" w:themeColor="text1"/>
        </w:rPr>
        <w:t>…</w:t>
      </w:r>
    </w:p>
    <w:p w14:paraId="2E8FB06E" w14:textId="77777777" w:rsidR="00670A05" w:rsidRPr="0085320C" w:rsidRDefault="00670A05" w:rsidP="00670A05">
      <w:pPr>
        <w:spacing w:line="360" w:lineRule="auto"/>
        <w:rPr>
          <w:rFonts w:ascii="Arial" w:hAnsi="Arial" w:cs="Arial"/>
          <w:color w:val="000000" w:themeColor="text1"/>
        </w:rPr>
      </w:pPr>
      <w:r w:rsidRPr="0085320C">
        <w:rPr>
          <w:rFonts w:ascii="Arial" w:hAnsi="Arial" w:cs="Arial"/>
          <w:color w:val="000000" w:themeColor="text1"/>
        </w:rPr>
        <w:t>…</w:t>
      </w:r>
    </w:p>
    <w:p w14:paraId="5970432D" w14:textId="77777777" w:rsidR="00670A05" w:rsidRPr="0085320C" w:rsidRDefault="00670A05" w:rsidP="00670A05">
      <w:pPr>
        <w:spacing w:line="360" w:lineRule="auto"/>
        <w:rPr>
          <w:rFonts w:ascii="Arial" w:hAnsi="Arial" w:cs="Arial"/>
          <w:color w:val="000000" w:themeColor="text1"/>
        </w:rPr>
      </w:pPr>
    </w:p>
    <w:p w14:paraId="42CDFFAC" w14:textId="77777777" w:rsidR="00670A05" w:rsidRPr="0085320C" w:rsidRDefault="00670A05" w:rsidP="00670A05">
      <w:pPr>
        <w:spacing w:line="360" w:lineRule="auto"/>
        <w:rPr>
          <w:rFonts w:ascii="Arial" w:hAnsi="Arial" w:cs="Arial"/>
          <w:color w:val="000000" w:themeColor="text1"/>
        </w:rPr>
      </w:pPr>
      <w:r w:rsidRPr="0085320C">
        <w:rPr>
          <w:rFonts w:ascii="Arial" w:hAnsi="Arial" w:cs="Arial"/>
          <w:b/>
          <w:color w:val="000000" w:themeColor="text1"/>
        </w:rPr>
        <w:t>Artículo segundo.</w:t>
      </w:r>
      <w:r w:rsidRPr="0085320C">
        <w:rPr>
          <w:rFonts w:ascii="Arial" w:hAnsi="Arial" w:cs="Arial"/>
          <w:color w:val="000000" w:themeColor="text1"/>
        </w:rPr>
        <w:t xml:space="preserve"> Se reforman la fracción II del artículo 2 y el párrafo primero del artículo 22, ambos de la Ley de Fiscalización de la Cuenta Pública del Estado de Yucatán, para quedar como sigue:</w:t>
      </w:r>
    </w:p>
    <w:p w14:paraId="73D639A8" w14:textId="77777777" w:rsidR="00670A05" w:rsidRPr="0085320C" w:rsidRDefault="00670A05" w:rsidP="00670A05">
      <w:pPr>
        <w:spacing w:line="360" w:lineRule="auto"/>
        <w:rPr>
          <w:rFonts w:ascii="Arial" w:hAnsi="Arial" w:cs="Arial"/>
          <w:color w:val="000000" w:themeColor="text1"/>
        </w:rPr>
      </w:pPr>
      <w:r w:rsidRPr="0085320C">
        <w:rPr>
          <w:rFonts w:ascii="Arial" w:hAnsi="Arial" w:cs="Arial"/>
          <w:b/>
          <w:color w:val="000000" w:themeColor="text1"/>
        </w:rPr>
        <w:t>Artículo 2.</w:t>
      </w:r>
      <w:r w:rsidRPr="0085320C">
        <w:rPr>
          <w:rFonts w:ascii="Arial" w:hAnsi="Arial" w:cs="Arial"/>
          <w:color w:val="000000" w:themeColor="text1"/>
        </w:rPr>
        <w:t xml:space="preserve"> </w:t>
      </w:r>
      <w:r w:rsidRPr="0085320C">
        <w:rPr>
          <w:rFonts w:ascii="Arial" w:hAnsi="Arial" w:cs="Arial"/>
          <w:b/>
          <w:color w:val="000000" w:themeColor="text1"/>
        </w:rPr>
        <w:t>Definiciones</w:t>
      </w:r>
    </w:p>
    <w:p w14:paraId="7C6EC981" w14:textId="77777777" w:rsidR="00670A05" w:rsidRPr="0085320C" w:rsidRDefault="00670A05" w:rsidP="00670A05">
      <w:pPr>
        <w:spacing w:line="360" w:lineRule="auto"/>
        <w:rPr>
          <w:rFonts w:ascii="Arial" w:hAnsi="Arial" w:cs="Arial"/>
          <w:color w:val="000000" w:themeColor="text1"/>
        </w:rPr>
      </w:pPr>
      <w:r w:rsidRPr="0085320C">
        <w:rPr>
          <w:rFonts w:ascii="Arial" w:hAnsi="Arial" w:cs="Arial"/>
          <w:color w:val="000000" w:themeColor="text1"/>
        </w:rPr>
        <w:t>…</w:t>
      </w:r>
    </w:p>
    <w:p w14:paraId="41355439" w14:textId="77777777" w:rsidR="00670A05" w:rsidRPr="0085320C" w:rsidRDefault="00670A05" w:rsidP="00670A05">
      <w:pPr>
        <w:spacing w:line="360" w:lineRule="auto"/>
        <w:rPr>
          <w:rFonts w:ascii="Arial" w:hAnsi="Arial" w:cs="Arial"/>
          <w:color w:val="000000" w:themeColor="text1"/>
        </w:rPr>
      </w:pPr>
      <w:r w:rsidRPr="0085320C">
        <w:rPr>
          <w:rFonts w:ascii="Arial" w:hAnsi="Arial" w:cs="Arial"/>
          <w:b/>
          <w:color w:val="000000" w:themeColor="text1"/>
        </w:rPr>
        <w:t xml:space="preserve">I. </w:t>
      </w:r>
      <w:r w:rsidRPr="0085320C">
        <w:rPr>
          <w:rFonts w:ascii="Arial" w:hAnsi="Arial" w:cs="Arial"/>
          <w:color w:val="000000" w:themeColor="text1"/>
        </w:rPr>
        <w:t>…</w:t>
      </w:r>
    </w:p>
    <w:p w14:paraId="35ECDA03" w14:textId="77777777" w:rsidR="00670A05" w:rsidRPr="0085320C" w:rsidRDefault="00670A05" w:rsidP="00670A05">
      <w:pPr>
        <w:spacing w:line="360" w:lineRule="auto"/>
        <w:rPr>
          <w:rFonts w:ascii="Arial" w:hAnsi="Arial" w:cs="Arial"/>
          <w:color w:val="000000" w:themeColor="text1"/>
        </w:rPr>
      </w:pPr>
      <w:r w:rsidRPr="0085320C">
        <w:rPr>
          <w:rFonts w:ascii="Arial" w:hAnsi="Arial" w:cs="Arial"/>
          <w:b/>
          <w:color w:val="000000" w:themeColor="text1"/>
        </w:rPr>
        <w:t xml:space="preserve">II. </w:t>
      </w:r>
      <w:r w:rsidRPr="0085320C">
        <w:rPr>
          <w:rFonts w:ascii="Arial" w:hAnsi="Arial" w:cs="Arial"/>
          <w:color w:val="000000" w:themeColor="text1"/>
        </w:rPr>
        <w:t>Autonomía de gestión: la facultad de la Unidad para decidir sobre su organización interna, estructura, funcionamiento y resoluciones, así como la administración de sus recursos humanos, materiales y financieros que utilice para la ejecución de sus atribuciones, en los términos contenidos en la Constitución Política del Estado de Yucatán y esta ley;</w:t>
      </w:r>
    </w:p>
    <w:p w14:paraId="5A746D9F" w14:textId="77777777" w:rsidR="00670A05" w:rsidRPr="0085320C" w:rsidRDefault="00670A05" w:rsidP="00670A05">
      <w:pPr>
        <w:spacing w:line="360" w:lineRule="auto"/>
        <w:rPr>
          <w:rFonts w:ascii="Arial" w:hAnsi="Arial" w:cs="Arial"/>
          <w:color w:val="000000" w:themeColor="text1"/>
        </w:rPr>
      </w:pPr>
      <w:r w:rsidRPr="0085320C">
        <w:rPr>
          <w:rFonts w:ascii="Arial" w:hAnsi="Arial" w:cs="Arial"/>
          <w:b/>
          <w:color w:val="000000" w:themeColor="text1"/>
        </w:rPr>
        <w:t xml:space="preserve">III. </w:t>
      </w:r>
      <w:r w:rsidRPr="0085320C">
        <w:rPr>
          <w:rFonts w:ascii="Arial" w:hAnsi="Arial" w:cs="Arial"/>
          <w:color w:val="000000" w:themeColor="text1"/>
        </w:rPr>
        <w:t xml:space="preserve">a la </w:t>
      </w:r>
      <w:r w:rsidRPr="0085320C">
        <w:rPr>
          <w:rFonts w:ascii="Arial" w:hAnsi="Arial" w:cs="Arial"/>
          <w:b/>
          <w:color w:val="000000" w:themeColor="text1"/>
        </w:rPr>
        <w:t xml:space="preserve">XXV. </w:t>
      </w:r>
      <w:r w:rsidRPr="0085320C">
        <w:rPr>
          <w:rFonts w:ascii="Arial" w:hAnsi="Arial" w:cs="Arial"/>
          <w:color w:val="000000" w:themeColor="text1"/>
        </w:rPr>
        <w:t>…</w:t>
      </w:r>
    </w:p>
    <w:p w14:paraId="3F9E4002" w14:textId="77777777" w:rsidR="00670A05" w:rsidRPr="0085320C" w:rsidRDefault="00670A05" w:rsidP="00670A05">
      <w:pPr>
        <w:spacing w:line="360" w:lineRule="auto"/>
        <w:rPr>
          <w:rFonts w:ascii="Arial" w:hAnsi="Arial" w:cs="Arial"/>
          <w:color w:val="000000" w:themeColor="text1"/>
        </w:rPr>
      </w:pPr>
    </w:p>
    <w:p w14:paraId="350A5F00" w14:textId="77777777" w:rsidR="00670A05" w:rsidRPr="0085320C" w:rsidRDefault="00670A05" w:rsidP="00670A05">
      <w:pPr>
        <w:spacing w:line="360" w:lineRule="auto"/>
        <w:rPr>
          <w:rFonts w:ascii="Arial" w:hAnsi="Arial" w:cs="Arial"/>
          <w:b/>
          <w:color w:val="000000" w:themeColor="text1"/>
        </w:rPr>
      </w:pPr>
      <w:r w:rsidRPr="0085320C">
        <w:rPr>
          <w:rFonts w:ascii="Arial" w:hAnsi="Arial" w:cs="Arial"/>
          <w:b/>
          <w:color w:val="000000" w:themeColor="text1"/>
        </w:rPr>
        <w:t>Artículo 22. Requisitos para ser auditor</w:t>
      </w:r>
    </w:p>
    <w:p w14:paraId="69EB4768" w14:textId="77777777" w:rsidR="00670A05" w:rsidRPr="0085320C" w:rsidRDefault="00670A05" w:rsidP="00670A05">
      <w:pPr>
        <w:spacing w:line="360" w:lineRule="auto"/>
        <w:rPr>
          <w:rFonts w:ascii="Arial" w:hAnsi="Arial" w:cs="Arial"/>
          <w:color w:val="000000" w:themeColor="text1"/>
        </w:rPr>
      </w:pPr>
      <w:r w:rsidRPr="0085320C">
        <w:rPr>
          <w:rFonts w:ascii="Arial" w:hAnsi="Arial" w:cs="Arial"/>
          <w:color w:val="000000" w:themeColor="text1"/>
        </w:rPr>
        <w:t>Para ser auditor superior del estado, se requiere cumplir con los requisitos establecidos en el artículo 43 Ter de la Constitución Política del Estado de Yucatán.</w:t>
      </w:r>
    </w:p>
    <w:p w14:paraId="021F5AC5" w14:textId="77777777" w:rsidR="00670A05" w:rsidRPr="0085320C" w:rsidRDefault="00670A05" w:rsidP="00670A05">
      <w:pPr>
        <w:spacing w:line="360" w:lineRule="auto"/>
        <w:rPr>
          <w:rFonts w:ascii="Arial" w:hAnsi="Arial" w:cs="Arial"/>
          <w:color w:val="000000" w:themeColor="text1"/>
        </w:rPr>
      </w:pPr>
      <w:r w:rsidRPr="0085320C">
        <w:rPr>
          <w:rFonts w:ascii="Arial" w:hAnsi="Arial" w:cs="Arial"/>
          <w:color w:val="000000" w:themeColor="text1"/>
        </w:rPr>
        <w:t>…</w:t>
      </w:r>
    </w:p>
    <w:p w14:paraId="07E9DFF5" w14:textId="77777777" w:rsidR="00670A05" w:rsidRPr="0085320C" w:rsidRDefault="00670A05" w:rsidP="00670A05">
      <w:pPr>
        <w:spacing w:line="360" w:lineRule="auto"/>
        <w:rPr>
          <w:rFonts w:ascii="Arial" w:hAnsi="Arial" w:cs="Arial"/>
          <w:b/>
          <w:color w:val="000000" w:themeColor="text1"/>
        </w:rPr>
      </w:pPr>
    </w:p>
    <w:p w14:paraId="324169D0" w14:textId="77777777" w:rsidR="00670A05" w:rsidRPr="00A75754" w:rsidRDefault="00670A05" w:rsidP="00670A05">
      <w:pPr>
        <w:spacing w:line="360" w:lineRule="auto"/>
        <w:jc w:val="center"/>
        <w:rPr>
          <w:rFonts w:ascii="Arial" w:hAnsi="Arial" w:cs="Arial"/>
          <w:b/>
          <w:color w:val="000000" w:themeColor="text1"/>
        </w:rPr>
      </w:pPr>
      <w:r w:rsidRPr="00A75754">
        <w:rPr>
          <w:rFonts w:ascii="Arial" w:hAnsi="Arial" w:cs="Arial"/>
          <w:b/>
          <w:color w:val="000000" w:themeColor="text1"/>
        </w:rPr>
        <w:t xml:space="preserve">TRANSITORIOS </w:t>
      </w:r>
    </w:p>
    <w:p w14:paraId="128516B0" w14:textId="77777777" w:rsidR="00670A05" w:rsidRPr="00A75754" w:rsidRDefault="00670A05" w:rsidP="00670A05">
      <w:pPr>
        <w:spacing w:line="360" w:lineRule="auto"/>
        <w:rPr>
          <w:rFonts w:ascii="Arial" w:hAnsi="Arial" w:cs="Arial"/>
          <w:b/>
          <w:color w:val="000000" w:themeColor="text1"/>
        </w:rPr>
      </w:pPr>
      <w:r w:rsidRPr="00A75754">
        <w:rPr>
          <w:rFonts w:ascii="Arial" w:hAnsi="Arial" w:cs="Arial"/>
          <w:b/>
          <w:color w:val="000000" w:themeColor="text1"/>
        </w:rPr>
        <w:t>Entrada en vigor.</w:t>
      </w:r>
    </w:p>
    <w:p w14:paraId="16C42922" w14:textId="77777777" w:rsidR="00670A05" w:rsidRPr="00A75754" w:rsidRDefault="00670A05" w:rsidP="00670A05">
      <w:pPr>
        <w:spacing w:line="360" w:lineRule="auto"/>
        <w:rPr>
          <w:rFonts w:ascii="Arial" w:hAnsi="Arial" w:cs="Arial"/>
          <w:color w:val="000000" w:themeColor="text1"/>
        </w:rPr>
      </w:pPr>
      <w:r w:rsidRPr="00A75754">
        <w:rPr>
          <w:rFonts w:ascii="Arial" w:hAnsi="Arial" w:cs="Arial"/>
          <w:b/>
          <w:color w:val="000000" w:themeColor="text1"/>
        </w:rPr>
        <w:t>Artículo primero.</w:t>
      </w:r>
      <w:r w:rsidRPr="00A75754">
        <w:rPr>
          <w:color w:val="000000" w:themeColor="text1"/>
        </w:rPr>
        <w:t xml:space="preserve"> </w:t>
      </w:r>
      <w:r w:rsidRPr="00A75754">
        <w:rPr>
          <w:rFonts w:ascii="Arial" w:hAnsi="Arial" w:cs="Arial"/>
          <w:color w:val="000000" w:themeColor="text1"/>
        </w:rPr>
        <w:t>Este decreto entrará en vigor el día siguiente al de su publicación en el Diario Oficial del Gobierno del Estado de Yucatán, a excepción de las referencias al Código Nacional de Procedimientos Civiles y Familiares, que lo harán cuando lo haga el referido código conforme a la declaratoria que, al efecto, emita el Congreso, previa solicitud del Poder Judicial del Estado.</w:t>
      </w:r>
    </w:p>
    <w:p w14:paraId="7E6AA83F" w14:textId="77777777" w:rsidR="00670A05" w:rsidRPr="00A75754" w:rsidRDefault="00670A05" w:rsidP="00670A05">
      <w:pPr>
        <w:spacing w:line="360" w:lineRule="auto"/>
        <w:rPr>
          <w:rFonts w:ascii="Arial" w:hAnsi="Arial" w:cs="Arial"/>
          <w:b/>
          <w:color w:val="000000" w:themeColor="text1"/>
        </w:rPr>
      </w:pPr>
      <w:r w:rsidRPr="00A75754">
        <w:rPr>
          <w:rFonts w:ascii="Arial" w:hAnsi="Arial" w:cs="Arial"/>
          <w:b/>
          <w:color w:val="000000" w:themeColor="text1"/>
        </w:rPr>
        <w:t>Actos en trámite</w:t>
      </w:r>
    </w:p>
    <w:p w14:paraId="5CC5657E" w14:textId="77777777" w:rsidR="00670A05" w:rsidRPr="00A75754" w:rsidRDefault="00670A05" w:rsidP="00670A05">
      <w:pPr>
        <w:spacing w:line="360" w:lineRule="auto"/>
        <w:rPr>
          <w:rFonts w:ascii="Arial" w:hAnsi="Arial" w:cs="Arial"/>
          <w:color w:val="000000" w:themeColor="text1"/>
        </w:rPr>
      </w:pPr>
      <w:r w:rsidRPr="00A75754">
        <w:rPr>
          <w:rFonts w:ascii="Arial" w:hAnsi="Arial" w:cs="Arial"/>
          <w:b/>
          <w:color w:val="000000" w:themeColor="text1"/>
        </w:rPr>
        <w:t>Artículo segundo.</w:t>
      </w:r>
      <w:r w:rsidRPr="00A75754">
        <w:rPr>
          <w:rFonts w:ascii="Arial" w:hAnsi="Arial" w:cs="Arial"/>
          <w:color w:val="000000" w:themeColor="text1"/>
        </w:rPr>
        <w:t xml:space="preserve"> Los convenios, actos jurídicos y asuntos pendientes y en trámite, así como las obligaciones contraídas y los derechos adquiridos, que por su propia naturaleza subsistan con posterioridad al día en que entre en vigor este decreto continuarán su trámite de conformidad con las disposiciones legales y normativas aplicables al momento de su inicio.</w:t>
      </w:r>
    </w:p>
    <w:p w14:paraId="1BD38AE3" w14:textId="77777777" w:rsidR="00670A05" w:rsidRPr="00A75754" w:rsidRDefault="00670A05" w:rsidP="00670A05">
      <w:pPr>
        <w:spacing w:line="360" w:lineRule="auto"/>
        <w:rPr>
          <w:rFonts w:ascii="Arial" w:hAnsi="Arial" w:cs="Arial"/>
          <w:b/>
          <w:color w:val="000000" w:themeColor="text1"/>
        </w:rPr>
      </w:pPr>
    </w:p>
    <w:p w14:paraId="1D83E076" w14:textId="77777777" w:rsidR="00670A05" w:rsidRPr="00A75754" w:rsidRDefault="00670A05" w:rsidP="00670A05">
      <w:pPr>
        <w:spacing w:line="360" w:lineRule="auto"/>
        <w:rPr>
          <w:rFonts w:ascii="Arial" w:hAnsi="Arial" w:cs="Arial"/>
          <w:b/>
          <w:color w:val="000000" w:themeColor="text1"/>
        </w:rPr>
      </w:pPr>
      <w:r w:rsidRPr="00A75754">
        <w:rPr>
          <w:rFonts w:ascii="Arial" w:hAnsi="Arial" w:cs="Arial"/>
          <w:b/>
          <w:color w:val="000000" w:themeColor="text1"/>
        </w:rPr>
        <w:t>Nombramiento</w:t>
      </w:r>
    </w:p>
    <w:p w14:paraId="6746D8F8" w14:textId="77777777" w:rsidR="00670A05" w:rsidRPr="00A75754" w:rsidRDefault="00670A05" w:rsidP="00670A05">
      <w:pPr>
        <w:spacing w:line="360" w:lineRule="auto"/>
        <w:rPr>
          <w:rFonts w:ascii="Arial" w:hAnsi="Arial" w:cs="Arial"/>
          <w:color w:val="000000" w:themeColor="text1"/>
        </w:rPr>
      </w:pPr>
      <w:r w:rsidRPr="00A75754">
        <w:rPr>
          <w:rFonts w:ascii="Arial" w:hAnsi="Arial" w:cs="Arial"/>
          <w:b/>
          <w:color w:val="000000" w:themeColor="text1"/>
        </w:rPr>
        <w:t>Artículo tercero.</w:t>
      </w:r>
      <w:r w:rsidRPr="00A75754">
        <w:rPr>
          <w:rFonts w:ascii="Arial" w:hAnsi="Arial" w:cs="Arial"/>
          <w:color w:val="000000" w:themeColor="text1"/>
        </w:rPr>
        <w:t xml:space="preserve"> El Congreso deberá expedir la convocatoria para la designación del titular del órgano de control interno del Tribunal de Justicia Administrativa del Estado de Yucatán dentro de un plazo de sesenta días naturales, contado a partir de la entrada en vigor de este decreto.</w:t>
      </w:r>
    </w:p>
    <w:p w14:paraId="23FE9496" w14:textId="77777777" w:rsidR="00670A05" w:rsidRPr="00A75754" w:rsidRDefault="00670A05" w:rsidP="00670A05">
      <w:pPr>
        <w:spacing w:line="360" w:lineRule="auto"/>
        <w:rPr>
          <w:rFonts w:ascii="Arial" w:hAnsi="Arial" w:cs="Arial"/>
          <w:color w:val="000000" w:themeColor="text1"/>
        </w:rPr>
      </w:pPr>
      <w:r w:rsidRPr="00A75754">
        <w:rPr>
          <w:rFonts w:ascii="Arial" w:hAnsi="Arial" w:cs="Arial"/>
          <w:color w:val="000000" w:themeColor="text1"/>
        </w:rPr>
        <w:t>La persona titular del órgano de control interno del Tribunal de Justicia Administrativa del Estado de Yucatán en funciones, continuará ejerciendo el cargo hasta en tanto el Congreso realice el nombramiento a que se refiere el primer párrafo de este artículo.</w:t>
      </w:r>
    </w:p>
    <w:p w14:paraId="789706F2" w14:textId="77777777" w:rsidR="00670A05" w:rsidRPr="00A75754" w:rsidRDefault="00670A05" w:rsidP="00670A05">
      <w:pPr>
        <w:spacing w:line="360" w:lineRule="auto"/>
        <w:rPr>
          <w:rFonts w:ascii="Arial" w:hAnsi="Arial" w:cs="Arial"/>
          <w:color w:val="000000" w:themeColor="text1"/>
        </w:rPr>
      </w:pPr>
    </w:p>
    <w:p w14:paraId="54F2648E" w14:textId="77777777" w:rsidR="00670A05" w:rsidRPr="0085320C" w:rsidRDefault="00670A05" w:rsidP="00670A05">
      <w:pPr>
        <w:spacing w:line="360" w:lineRule="auto"/>
        <w:rPr>
          <w:rFonts w:ascii="Arial" w:hAnsi="Arial" w:cs="Arial"/>
          <w:b/>
          <w:color w:val="000000" w:themeColor="text1"/>
        </w:rPr>
      </w:pPr>
      <w:r w:rsidRPr="00A75754">
        <w:rPr>
          <w:rFonts w:ascii="Arial" w:hAnsi="Arial" w:cs="Arial"/>
          <w:b/>
          <w:color w:val="000000" w:themeColor="text1"/>
        </w:rPr>
        <w:t>Dado en la sede del recinto del poder legislativo, en la ciudad de Mérida, Yucatán, Estados Unidos Mexicanos, el primer día del mes de octubre del dos mil veinticinco.</w:t>
      </w:r>
    </w:p>
    <w:p w14:paraId="72087220" w14:textId="77777777" w:rsidR="00670A05" w:rsidRPr="0085320C" w:rsidRDefault="00670A05" w:rsidP="00670A05">
      <w:pPr>
        <w:spacing w:line="360" w:lineRule="auto"/>
        <w:rPr>
          <w:rFonts w:ascii="Arial" w:hAnsi="Arial" w:cs="Arial"/>
          <w:color w:val="000000" w:themeColor="text1"/>
        </w:rPr>
      </w:pPr>
    </w:p>
    <w:p w14:paraId="49D7EAFE" w14:textId="77777777" w:rsidR="004826D3" w:rsidRDefault="004826D3" w:rsidP="004826D3">
      <w:pPr>
        <w:spacing w:after="14" w:line="256" w:lineRule="auto"/>
        <w:ind w:left="110" w:right="0" w:firstLine="0"/>
        <w:jc w:val="left"/>
        <w:rPr>
          <w:rFonts w:ascii="Arial" w:hAnsi="Arial" w:cs="Arial"/>
        </w:rPr>
      </w:pPr>
      <w:bookmarkStart w:id="0" w:name="_GoBack"/>
      <w:bookmarkEnd w:id="0"/>
    </w:p>
    <w:p w14:paraId="7B5EF6F9" w14:textId="77777777" w:rsidR="004826D3" w:rsidRDefault="004826D3" w:rsidP="004826D3">
      <w:pPr>
        <w:spacing w:before="240" w:line="360" w:lineRule="auto"/>
        <w:jc w:val="center"/>
        <w:rPr>
          <w:rFonts w:ascii="Tahoma" w:hAnsi="Tahoma" w:cs="Tahoma"/>
          <w:b/>
          <w:bCs/>
        </w:rPr>
      </w:pPr>
      <w:r>
        <w:rPr>
          <w:rFonts w:ascii="Tahoma" w:hAnsi="Tahoma" w:cs="Tahoma"/>
          <w:b/>
          <w:bCs/>
        </w:rPr>
        <w:t>ATENTAMENTE</w:t>
      </w:r>
    </w:p>
    <w:p w14:paraId="783252DD" w14:textId="77777777" w:rsidR="004826D3" w:rsidRDefault="004826D3" w:rsidP="004826D3">
      <w:pPr>
        <w:autoSpaceDE w:val="0"/>
        <w:autoSpaceDN w:val="0"/>
        <w:adjustRightInd w:val="0"/>
        <w:spacing w:before="240" w:afterLines="160" w:after="384" w:line="360" w:lineRule="auto"/>
        <w:ind w:left="14" w:right="96"/>
        <w:contextualSpacing/>
        <w:jc w:val="center"/>
        <w:rPr>
          <w:rFonts w:ascii="Tahoma" w:hAnsi="Tahoma" w:cs="Tahoma"/>
        </w:rPr>
      </w:pPr>
    </w:p>
    <w:p w14:paraId="3DA1CD70" w14:textId="77777777" w:rsidR="004826D3" w:rsidRDefault="004826D3" w:rsidP="004826D3">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_____________________________________</w:t>
      </w:r>
    </w:p>
    <w:p w14:paraId="035323EC" w14:textId="77777777" w:rsidR="004826D3" w:rsidRDefault="004826D3" w:rsidP="004826D3">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DIPUTADO WILMER MONFORTE MÁRFIL</w:t>
      </w:r>
    </w:p>
    <w:p w14:paraId="2795CD3B" w14:textId="77777777" w:rsidR="004826D3" w:rsidRDefault="004826D3" w:rsidP="004826D3">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COORDINADOR DE LA FRACCIÓN PARLAMENTARIA</w:t>
      </w:r>
    </w:p>
    <w:p w14:paraId="38EF28A1" w14:textId="77777777" w:rsidR="004826D3" w:rsidRDefault="004826D3" w:rsidP="004826D3">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 xml:space="preserve">DE MORENA </w:t>
      </w:r>
    </w:p>
    <w:p w14:paraId="49F66AF3" w14:textId="77777777" w:rsidR="004826D3" w:rsidRDefault="004826D3" w:rsidP="004826D3">
      <w:pPr>
        <w:autoSpaceDE w:val="0"/>
        <w:autoSpaceDN w:val="0"/>
        <w:adjustRightInd w:val="0"/>
        <w:spacing w:before="240" w:afterLines="160" w:after="384" w:line="360" w:lineRule="auto"/>
        <w:ind w:left="14" w:right="96"/>
        <w:contextualSpacing/>
        <w:jc w:val="center"/>
        <w:rPr>
          <w:rFonts w:ascii="Tahoma" w:hAnsi="Tahoma" w:cs="Tahoma"/>
          <w:b/>
          <w:bCs/>
        </w:rPr>
      </w:pPr>
    </w:p>
    <w:p w14:paraId="0D71CA8A" w14:textId="77777777" w:rsidR="004826D3" w:rsidRDefault="004826D3" w:rsidP="004826D3">
      <w:pPr>
        <w:autoSpaceDE w:val="0"/>
        <w:autoSpaceDN w:val="0"/>
        <w:adjustRightInd w:val="0"/>
        <w:spacing w:before="240" w:afterLines="160" w:after="384" w:line="360" w:lineRule="auto"/>
        <w:ind w:left="14" w:right="96"/>
        <w:contextualSpacing/>
        <w:jc w:val="center"/>
        <w:rPr>
          <w:rFonts w:ascii="Tahoma" w:hAnsi="Tahoma" w:cs="Tahoma"/>
          <w:b/>
          <w:bCs/>
        </w:rPr>
      </w:pPr>
    </w:p>
    <w:p w14:paraId="6173D6F0" w14:textId="77777777" w:rsidR="004826D3" w:rsidRDefault="004826D3" w:rsidP="004826D3">
      <w:pPr>
        <w:autoSpaceDE w:val="0"/>
        <w:autoSpaceDN w:val="0"/>
        <w:adjustRightInd w:val="0"/>
        <w:spacing w:before="240" w:afterLines="160" w:after="384" w:line="360" w:lineRule="auto"/>
        <w:ind w:left="14" w:right="96"/>
        <w:contextualSpacing/>
        <w:jc w:val="center"/>
        <w:rPr>
          <w:rFonts w:ascii="Tahoma" w:hAnsi="Tahoma" w:cs="Tahoma"/>
          <w:b/>
          <w:bCs/>
        </w:rPr>
      </w:pPr>
    </w:p>
    <w:p w14:paraId="3409A7FB" w14:textId="77777777" w:rsidR="004826D3" w:rsidRDefault="004826D3" w:rsidP="004826D3">
      <w:pPr>
        <w:autoSpaceDE w:val="0"/>
        <w:autoSpaceDN w:val="0"/>
        <w:adjustRightInd w:val="0"/>
        <w:spacing w:before="240" w:afterLines="160" w:after="384" w:line="360" w:lineRule="auto"/>
        <w:ind w:left="14" w:right="96"/>
        <w:contextualSpacing/>
        <w:jc w:val="center"/>
        <w:rPr>
          <w:rFonts w:ascii="Tahoma" w:hAnsi="Tahoma" w:cs="Tahoma"/>
          <w:b/>
          <w:bCs/>
        </w:rPr>
      </w:pPr>
    </w:p>
    <w:p w14:paraId="717E0626" w14:textId="77777777" w:rsidR="004826D3" w:rsidRDefault="004826D3" w:rsidP="004826D3">
      <w:pPr>
        <w:autoSpaceDE w:val="0"/>
        <w:autoSpaceDN w:val="0"/>
        <w:adjustRightInd w:val="0"/>
        <w:spacing w:before="240" w:afterLines="160" w:after="384" w:line="360" w:lineRule="auto"/>
        <w:ind w:left="14" w:right="96"/>
        <w:contextualSpacing/>
        <w:jc w:val="center"/>
        <w:rPr>
          <w:rFonts w:ascii="Tahoma" w:hAnsi="Tahoma" w:cs="Tahoma"/>
          <w:b/>
          <w:bC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6"/>
        <w:gridCol w:w="4751"/>
      </w:tblGrid>
      <w:tr w:rsidR="004826D3" w14:paraId="2E6B4B6E" w14:textId="77777777" w:rsidTr="0043297A">
        <w:tc>
          <w:tcPr>
            <w:tcW w:w="4414" w:type="dxa"/>
          </w:tcPr>
          <w:p w14:paraId="0ABEC1F7"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5323D268"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204BCA08"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w:t>
            </w:r>
          </w:p>
          <w:p w14:paraId="16925E1D"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DIP. FRANCISCO ROSAS VILLAVICENCIO</w:t>
            </w:r>
          </w:p>
          <w:p w14:paraId="083143C6"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 xml:space="preserve">DE LA REPRESENTACIÓN LEGISLATIVA DEL PARTIDO DEL TRABAJO </w:t>
            </w:r>
          </w:p>
          <w:p w14:paraId="6501B01C"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tc>
        <w:tc>
          <w:tcPr>
            <w:tcW w:w="4414" w:type="dxa"/>
          </w:tcPr>
          <w:p w14:paraId="0CCE1052"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5854CDB7"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4864BA99"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_____________________________</w:t>
            </w:r>
          </w:p>
          <w:p w14:paraId="5B57669B"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DIP. HARRY GERARDO RODRÍGUEZ BOTELLO FIERRO</w:t>
            </w:r>
          </w:p>
          <w:p w14:paraId="43083F25"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 xml:space="preserve">DE LA REPRESENTACIÓN LEGISLATIVA DEL PARTIDO VERDE ECOLOGISTA DE MÉXICO </w:t>
            </w:r>
          </w:p>
        </w:tc>
      </w:tr>
    </w:tbl>
    <w:p w14:paraId="65397E65" w14:textId="77777777" w:rsidR="004826D3" w:rsidRDefault="004826D3" w:rsidP="004826D3">
      <w:pPr>
        <w:autoSpaceDE w:val="0"/>
        <w:autoSpaceDN w:val="0"/>
        <w:adjustRightInd w:val="0"/>
        <w:spacing w:before="240" w:afterLines="160" w:after="384" w:line="360" w:lineRule="auto"/>
        <w:ind w:left="14" w:right="96"/>
        <w:contextualSpacing/>
        <w:jc w:val="center"/>
        <w:rPr>
          <w:rFonts w:ascii="Tahoma" w:hAnsi="Tahoma" w:cs="Tahoma"/>
          <w:b/>
          <w:bCs/>
        </w:rPr>
      </w:pPr>
    </w:p>
    <w:p w14:paraId="69B2D4D0" w14:textId="77777777" w:rsidR="004826D3" w:rsidRDefault="004826D3" w:rsidP="004826D3">
      <w:pPr>
        <w:autoSpaceDE w:val="0"/>
        <w:autoSpaceDN w:val="0"/>
        <w:adjustRightInd w:val="0"/>
        <w:spacing w:before="240" w:afterLines="160" w:after="384" w:line="360" w:lineRule="auto"/>
        <w:ind w:left="14" w:right="96"/>
        <w:contextualSpacing/>
        <w:jc w:val="center"/>
        <w:rPr>
          <w:rFonts w:ascii="Tahoma" w:hAnsi="Tahoma" w:cs="Tahoma"/>
          <w:b/>
          <w:bCs/>
        </w:rPr>
      </w:pPr>
    </w:p>
    <w:p w14:paraId="0C9B0D87" w14:textId="77777777" w:rsidR="004826D3" w:rsidRDefault="004826D3" w:rsidP="004826D3">
      <w:pPr>
        <w:autoSpaceDE w:val="0"/>
        <w:autoSpaceDN w:val="0"/>
        <w:adjustRightInd w:val="0"/>
        <w:spacing w:before="240" w:afterLines="160" w:after="384" w:line="360" w:lineRule="auto"/>
        <w:ind w:left="14" w:right="96"/>
        <w:contextualSpacing/>
        <w:jc w:val="center"/>
        <w:rPr>
          <w:rFonts w:ascii="Tahoma" w:hAnsi="Tahoma" w:cs="Tahoma"/>
          <w:b/>
          <w:bCs/>
        </w:rPr>
      </w:pPr>
    </w:p>
    <w:p w14:paraId="1BA71F95" w14:textId="77777777" w:rsidR="005C78DF" w:rsidRDefault="005C78DF" w:rsidP="004826D3">
      <w:pPr>
        <w:autoSpaceDE w:val="0"/>
        <w:autoSpaceDN w:val="0"/>
        <w:adjustRightInd w:val="0"/>
        <w:spacing w:before="240" w:afterLines="160" w:after="384" w:line="360" w:lineRule="auto"/>
        <w:ind w:left="14" w:right="96"/>
        <w:contextualSpacing/>
        <w:jc w:val="center"/>
        <w:rPr>
          <w:rFonts w:ascii="Tahoma" w:hAnsi="Tahoma" w:cs="Tahoma"/>
          <w:b/>
          <w:bCs/>
        </w:rPr>
      </w:pPr>
    </w:p>
    <w:p w14:paraId="75734DE6" w14:textId="77777777" w:rsidR="005C78DF" w:rsidRDefault="005C78DF" w:rsidP="004826D3">
      <w:pPr>
        <w:autoSpaceDE w:val="0"/>
        <w:autoSpaceDN w:val="0"/>
        <w:adjustRightInd w:val="0"/>
        <w:spacing w:before="240" w:afterLines="160" w:after="384" w:line="360" w:lineRule="auto"/>
        <w:ind w:left="14" w:right="96"/>
        <w:contextualSpacing/>
        <w:jc w:val="center"/>
        <w:rPr>
          <w:rFonts w:ascii="Tahoma" w:hAnsi="Tahoma" w:cs="Tahoma"/>
          <w:b/>
          <w:bCs/>
        </w:rPr>
      </w:pPr>
    </w:p>
    <w:p w14:paraId="33629EFA" w14:textId="77777777" w:rsidR="004826D3" w:rsidRDefault="004826D3" w:rsidP="004826D3">
      <w:pPr>
        <w:autoSpaceDE w:val="0"/>
        <w:autoSpaceDN w:val="0"/>
        <w:adjustRightInd w:val="0"/>
        <w:spacing w:before="240" w:afterLines="160" w:after="384" w:line="360" w:lineRule="auto"/>
        <w:ind w:left="14" w:right="96"/>
        <w:contextualSpacing/>
        <w:jc w:val="center"/>
        <w:rPr>
          <w:rFonts w:ascii="Tahoma" w:hAnsi="Tahoma" w:cs="Tahoma"/>
          <w:b/>
          <w:bCs/>
        </w:rPr>
      </w:pPr>
    </w:p>
    <w:p w14:paraId="6979B9BB" w14:textId="77777777" w:rsidR="004826D3" w:rsidRDefault="004826D3" w:rsidP="004826D3">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 xml:space="preserve">INTEGRANTES DE LA FRACCIÓN LEGISLATIVA </w:t>
      </w:r>
    </w:p>
    <w:p w14:paraId="7DD71DC3" w14:textId="77777777" w:rsidR="004826D3" w:rsidRDefault="004826D3" w:rsidP="004826D3">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DEL PARTIDO POLÍTICO DE MORENA</w:t>
      </w:r>
    </w:p>
    <w:p w14:paraId="409DB215" w14:textId="77777777" w:rsidR="004826D3" w:rsidRDefault="004826D3" w:rsidP="004826D3">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DE LA LXIV LEGISLATURA DEL HONORABLE CONGRESO</w:t>
      </w:r>
    </w:p>
    <w:p w14:paraId="7CC5AD5C" w14:textId="77777777" w:rsidR="004826D3" w:rsidRDefault="004826D3" w:rsidP="004826D3">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DEL ESTADO DE YUCATÁN.</w:t>
      </w:r>
    </w:p>
    <w:p w14:paraId="4698AB8A" w14:textId="77777777" w:rsidR="004826D3" w:rsidRDefault="004826D3" w:rsidP="004826D3">
      <w:pPr>
        <w:autoSpaceDE w:val="0"/>
        <w:autoSpaceDN w:val="0"/>
        <w:adjustRightInd w:val="0"/>
        <w:spacing w:before="240" w:afterLines="160" w:after="384" w:line="360" w:lineRule="auto"/>
        <w:ind w:left="14" w:right="96"/>
        <w:contextualSpacing/>
        <w:rPr>
          <w:rFonts w:ascii="Tahoma" w:hAnsi="Tahoma" w:cs="Tahoma"/>
        </w:rPr>
      </w:pPr>
    </w:p>
    <w:p w14:paraId="6380684A" w14:textId="77777777" w:rsidR="005C78DF" w:rsidRDefault="005C78DF" w:rsidP="004826D3">
      <w:pPr>
        <w:autoSpaceDE w:val="0"/>
        <w:autoSpaceDN w:val="0"/>
        <w:adjustRightInd w:val="0"/>
        <w:spacing w:before="240" w:afterLines="160" w:after="384" w:line="360" w:lineRule="auto"/>
        <w:ind w:left="14" w:right="96"/>
        <w:contextualSpacing/>
        <w:rPr>
          <w:rFonts w:ascii="Tahoma" w:hAnsi="Tahoma" w:cs="Tahoma"/>
        </w:rPr>
      </w:pPr>
    </w:p>
    <w:p w14:paraId="502DC2E9" w14:textId="77777777" w:rsidR="005C78DF" w:rsidRDefault="005C78DF" w:rsidP="004826D3">
      <w:pPr>
        <w:autoSpaceDE w:val="0"/>
        <w:autoSpaceDN w:val="0"/>
        <w:adjustRightInd w:val="0"/>
        <w:spacing w:before="240" w:afterLines="160" w:after="384" w:line="360" w:lineRule="auto"/>
        <w:ind w:left="14" w:right="96"/>
        <w:contextualSpacing/>
        <w:rPr>
          <w:rFonts w:ascii="Tahoma" w:hAnsi="Tahoma" w:cs="Tahoma"/>
        </w:rPr>
      </w:pPr>
    </w:p>
    <w:p w14:paraId="69F9B68E" w14:textId="77777777" w:rsidR="004826D3" w:rsidRDefault="004826D3" w:rsidP="004826D3">
      <w:pPr>
        <w:autoSpaceDE w:val="0"/>
        <w:autoSpaceDN w:val="0"/>
        <w:adjustRightInd w:val="0"/>
        <w:spacing w:before="240" w:afterLines="160" w:after="384" w:line="360" w:lineRule="auto"/>
        <w:ind w:left="14" w:right="96"/>
        <w:contextualSpacing/>
        <w:rPr>
          <w:rFonts w:ascii="Tahoma" w:hAnsi="Tahoma" w:cs="Tahoma"/>
        </w:rPr>
      </w:pPr>
    </w:p>
    <w:p w14:paraId="2BDD553B" w14:textId="77777777" w:rsidR="004826D3" w:rsidRDefault="004826D3" w:rsidP="004826D3">
      <w:pPr>
        <w:autoSpaceDE w:val="0"/>
        <w:autoSpaceDN w:val="0"/>
        <w:adjustRightInd w:val="0"/>
        <w:spacing w:before="240" w:afterLines="160" w:after="384" w:line="360" w:lineRule="auto"/>
        <w:ind w:left="14" w:right="96"/>
        <w:contextualSpacing/>
        <w:jc w:val="center"/>
        <w:rPr>
          <w:rFonts w:ascii="Tahoma" w:hAnsi="Tahoma" w:cs="Tahoma"/>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45"/>
      </w:tblGrid>
      <w:tr w:rsidR="004826D3" w14:paraId="21AA6BC0" w14:textId="77777777" w:rsidTr="0043297A">
        <w:tc>
          <w:tcPr>
            <w:tcW w:w="4414" w:type="dxa"/>
          </w:tcPr>
          <w:p w14:paraId="651B84A2"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6BBC30A3"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2DA2CBBC"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w:t>
            </w:r>
          </w:p>
          <w:p w14:paraId="596EC223"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DIP. NEYDA ARACELLY PAT DZUL INTEGRANTE DE LA FRACCIÓN LEGISLATIVA DE MORENA</w:t>
            </w:r>
          </w:p>
          <w:p w14:paraId="069B514B"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0F8A6C43" w14:textId="77777777" w:rsidR="005C78DF" w:rsidRDefault="005C78DF"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4C67FACA" w14:textId="77777777" w:rsidR="005C78DF" w:rsidRDefault="005C78DF"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4C0CF6EA" w14:textId="77777777" w:rsidR="005C78DF" w:rsidRDefault="005C78DF"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091AA690" w14:textId="77777777" w:rsidR="005C78DF" w:rsidRDefault="005C78DF" w:rsidP="0043297A">
            <w:pPr>
              <w:autoSpaceDE w:val="0"/>
              <w:autoSpaceDN w:val="0"/>
              <w:adjustRightInd w:val="0"/>
              <w:spacing w:before="240" w:afterLines="160" w:after="384" w:line="360" w:lineRule="auto"/>
              <w:ind w:left="14" w:right="96"/>
              <w:contextualSpacing/>
              <w:jc w:val="center"/>
              <w:rPr>
                <w:rFonts w:ascii="Tahoma" w:hAnsi="Tahoma" w:cs="Tahoma"/>
                <w:b/>
                <w:bCs/>
              </w:rPr>
            </w:pPr>
          </w:p>
        </w:tc>
        <w:tc>
          <w:tcPr>
            <w:tcW w:w="4414" w:type="dxa"/>
          </w:tcPr>
          <w:p w14:paraId="5E74A0BA"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3B46E52C"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29D2AE84"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w:t>
            </w:r>
          </w:p>
          <w:p w14:paraId="127DB627"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 xml:space="preserve">DIP. CLAUDIA ESTEFANIA BAEZA MARTÍNEZ </w:t>
            </w:r>
          </w:p>
          <w:p w14:paraId="7BC1B27B"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INTEGRANTE DE LA FRACCIÓN LEGISLATIVA DE MORENA</w:t>
            </w:r>
          </w:p>
          <w:p w14:paraId="50E9215A"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 xml:space="preserve"> </w:t>
            </w:r>
          </w:p>
          <w:p w14:paraId="1AB15F87"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tc>
      </w:tr>
      <w:tr w:rsidR="004826D3" w14:paraId="429A4AA2" w14:textId="77777777" w:rsidTr="0043297A">
        <w:tc>
          <w:tcPr>
            <w:tcW w:w="4414" w:type="dxa"/>
          </w:tcPr>
          <w:p w14:paraId="21F476F3"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3A8405B8"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75DC3B95"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1CE6B7DF"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5A28997C"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62952215"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0E495906"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w:t>
            </w:r>
          </w:p>
          <w:p w14:paraId="2EE8E30B"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DIP.  DANIEL ENRIQUE GONZÁLEZ QUINTAL</w:t>
            </w:r>
          </w:p>
          <w:p w14:paraId="375AE8C0"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 xml:space="preserve"> INTEGRANTE DE LA FRACCIÓN LEGISLATIVA DE MORENA</w:t>
            </w:r>
          </w:p>
          <w:p w14:paraId="359FD9BA"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tc>
        <w:tc>
          <w:tcPr>
            <w:tcW w:w="4414" w:type="dxa"/>
          </w:tcPr>
          <w:p w14:paraId="50709574"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0A2257AA"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6289C409"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5A327EB6"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5E33E61B"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080F796C"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54B1CF04"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w:t>
            </w:r>
          </w:p>
          <w:p w14:paraId="445FC1CA"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DIP.  NAOMI RAQUEL PENICHE LÓPEZ INTEGRANTE DE LA FRACCIÓN LEGISLATIVA DE MORENA</w:t>
            </w:r>
          </w:p>
          <w:p w14:paraId="289A4D75"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tc>
      </w:tr>
      <w:tr w:rsidR="004826D3" w14:paraId="55D40DA4" w14:textId="77777777" w:rsidTr="0043297A">
        <w:tc>
          <w:tcPr>
            <w:tcW w:w="4414" w:type="dxa"/>
          </w:tcPr>
          <w:p w14:paraId="342E0D7B"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28695F8D" w14:textId="77777777" w:rsidR="005C78DF" w:rsidRDefault="005C78DF"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6D837751" w14:textId="77777777" w:rsidR="005C78DF" w:rsidRDefault="005C78DF"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6785491F" w14:textId="77777777" w:rsidR="005C78DF" w:rsidRDefault="005C78DF"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65C7FF59"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449BE71A"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2BFDAE42"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3E12DD56"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w:t>
            </w:r>
          </w:p>
          <w:p w14:paraId="74C21164"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DIP.  CLARA PAOLA ROSALES MONTIEL</w:t>
            </w:r>
          </w:p>
          <w:p w14:paraId="542231C6"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 xml:space="preserve"> INTEGRANTE DE LA FRACCIÓN LEGISLATIVA DE MORENA</w:t>
            </w:r>
          </w:p>
        </w:tc>
        <w:tc>
          <w:tcPr>
            <w:tcW w:w="4414" w:type="dxa"/>
          </w:tcPr>
          <w:p w14:paraId="3EDC49ED"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240CF080"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7F531D46" w14:textId="77777777" w:rsidR="005C78DF" w:rsidRDefault="005C78DF"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3296FFAA" w14:textId="77777777" w:rsidR="005C78DF" w:rsidRDefault="005C78DF"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65DAF2B3" w14:textId="77777777" w:rsidR="005C78DF" w:rsidRDefault="005C78DF"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1F732B74"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2056C986"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3C7DDEFD"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w:t>
            </w:r>
          </w:p>
          <w:p w14:paraId="43E06A6C"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DIP.  JOSÉ JULIÁN BUSTILLOS MEDINA</w:t>
            </w:r>
          </w:p>
          <w:p w14:paraId="135F9B43"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 xml:space="preserve"> INTEGRANTE DE LA FRACCIÓN LEGISLATIVA DE MORENA</w:t>
            </w:r>
          </w:p>
        </w:tc>
      </w:tr>
      <w:tr w:rsidR="004826D3" w14:paraId="704AD396" w14:textId="77777777" w:rsidTr="0043297A">
        <w:tc>
          <w:tcPr>
            <w:tcW w:w="4414" w:type="dxa"/>
          </w:tcPr>
          <w:p w14:paraId="431C1E2D"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09B018C5" w14:textId="77777777" w:rsidR="007B1C60" w:rsidRDefault="007B1C60"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43B2F3E4" w14:textId="77777777" w:rsidR="007B1C60" w:rsidRDefault="007B1C60"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1B9DA3FB" w14:textId="77777777" w:rsidR="005C78DF" w:rsidRDefault="005C78DF"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09A89DB1" w14:textId="77777777" w:rsidR="005C78DF" w:rsidRDefault="005C78DF"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24B64A0C" w14:textId="77777777" w:rsidR="005C78DF" w:rsidRDefault="005C78DF"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2DDF35EA"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67241D62"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6F882E76"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566B5A5B"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6F7627B4"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w:t>
            </w:r>
          </w:p>
          <w:p w14:paraId="22DE0BA5"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DIP.  BAYARDO OJEDA MARRUFO</w:t>
            </w:r>
          </w:p>
          <w:p w14:paraId="3B71781B"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INTEGRANTE DE LA FRACCIÓN LEGISLATIVA DE MORENA</w:t>
            </w:r>
          </w:p>
        </w:tc>
        <w:tc>
          <w:tcPr>
            <w:tcW w:w="4414" w:type="dxa"/>
          </w:tcPr>
          <w:p w14:paraId="0B19825F"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43433FC1" w14:textId="77777777" w:rsidR="007B1C60" w:rsidRDefault="007B1C60"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05F1A55C" w14:textId="77777777" w:rsidR="007B1C60" w:rsidRDefault="007B1C60"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0043716D" w14:textId="77777777" w:rsidR="005C78DF" w:rsidRDefault="005C78DF"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36630584" w14:textId="77777777" w:rsidR="005C78DF" w:rsidRDefault="005C78DF"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0FD76529" w14:textId="77777777" w:rsidR="005C78DF" w:rsidRDefault="005C78DF"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6CAB32D4"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1F701C9E"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2B06AD8B"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3A3C86A9"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3F06E114"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w:t>
            </w:r>
          </w:p>
          <w:p w14:paraId="05F59463"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DIP.  SAMUEL DE JESÚS LIZAMA GASCA</w:t>
            </w:r>
          </w:p>
          <w:p w14:paraId="394A3E75"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 xml:space="preserve"> INTEGRANTE DE LA FRACCIÓN LEGISLATIVA DE MORENA</w:t>
            </w:r>
          </w:p>
        </w:tc>
      </w:tr>
      <w:tr w:rsidR="004826D3" w14:paraId="48D5A4D6" w14:textId="77777777" w:rsidTr="0043297A">
        <w:tc>
          <w:tcPr>
            <w:tcW w:w="4414" w:type="dxa"/>
          </w:tcPr>
          <w:p w14:paraId="01A40D78"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0DA55E55"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1C209D07"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0F267DB4" w14:textId="77777777" w:rsidR="007B1C60" w:rsidRDefault="007B1C60"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55508D57" w14:textId="77777777" w:rsidR="005C78DF" w:rsidRDefault="005C78DF"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0E4B2C55" w14:textId="77777777" w:rsidR="005C78DF" w:rsidRDefault="005C78DF"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74F077AA" w14:textId="77777777" w:rsidR="005C78DF" w:rsidRDefault="005C78DF"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2A34D2B9"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4784D5BE"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w:t>
            </w:r>
          </w:p>
          <w:p w14:paraId="4E08A3A4"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DIP.  ALBA CRISTINA COB CORTÉS Integrante de la Fracción Legislativa de MORENA</w:t>
            </w:r>
          </w:p>
          <w:p w14:paraId="3C7AA2FE"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tc>
        <w:tc>
          <w:tcPr>
            <w:tcW w:w="4414" w:type="dxa"/>
          </w:tcPr>
          <w:p w14:paraId="47CBD100"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711DC7F6"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22617086" w14:textId="77777777" w:rsidR="007B1C60" w:rsidRDefault="007B1C60"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1E8D15D7"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482BBD34" w14:textId="77777777" w:rsidR="005C78DF" w:rsidRDefault="005C78DF"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510644E3" w14:textId="77777777" w:rsidR="005C78DF" w:rsidRDefault="005C78DF"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788D9FDD" w14:textId="77777777" w:rsidR="005C78DF" w:rsidRDefault="005C78DF"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258B9B1F"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77CAA8B5"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___________________________</w:t>
            </w:r>
          </w:p>
          <w:p w14:paraId="34B72DA7"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 xml:space="preserve">DIP.  MARIO ALEJANDRO CUEVAS MENA </w:t>
            </w:r>
          </w:p>
          <w:p w14:paraId="725F29EB"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Integrante de la Fracción Legislativa de MORENA</w:t>
            </w:r>
          </w:p>
          <w:p w14:paraId="47D81CCC"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tc>
      </w:tr>
      <w:tr w:rsidR="004826D3" w14:paraId="0FA7B8DD" w14:textId="77777777" w:rsidTr="0043297A">
        <w:tc>
          <w:tcPr>
            <w:tcW w:w="4414" w:type="dxa"/>
          </w:tcPr>
          <w:p w14:paraId="472180B4"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6B5366DC"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2589A35D" w14:textId="77777777" w:rsidR="007B1C60" w:rsidRDefault="007B1C60"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52B11EA2" w14:textId="77777777" w:rsidR="007B1C60" w:rsidRDefault="007B1C60"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6FF10830" w14:textId="77777777" w:rsidR="007B1C60" w:rsidRDefault="007B1C60"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799DEE38"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458F08F4"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64FBA8DA" w14:textId="77777777" w:rsidR="007B1C60" w:rsidRDefault="007B1C60"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1B57496A"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7EA83A00"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w:t>
            </w:r>
          </w:p>
          <w:p w14:paraId="16C611AE"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DIP.  RAFAEL GERMÁN QUINTAL MEDINA</w:t>
            </w:r>
          </w:p>
          <w:p w14:paraId="47A10778"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INTEGRANTE DE LA FRACCIÓN LEGISLATIVA DE MORENA</w:t>
            </w:r>
          </w:p>
          <w:p w14:paraId="07A85679"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600A0532"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6C3AD499"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27FAE067" w14:textId="77777777" w:rsidR="005C78DF" w:rsidRDefault="005C78DF"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5E7F9BC5" w14:textId="77777777" w:rsidR="005C78DF" w:rsidRDefault="005C78DF"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6087B1ED" w14:textId="77777777" w:rsidR="005C78DF" w:rsidRDefault="005C78DF"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50C1B760" w14:textId="77777777" w:rsidR="005C78DF" w:rsidRDefault="005C78DF"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32A4B564" w14:textId="77777777" w:rsidR="005C78DF" w:rsidRDefault="005C78DF"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7B763391" w14:textId="77777777" w:rsidR="005C78DF" w:rsidRDefault="005C78DF" w:rsidP="0043297A">
            <w:pPr>
              <w:autoSpaceDE w:val="0"/>
              <w:autoSpaceDN w:val="0"/>
              <w:adjustRightInd w:val="0"/>
              <w:spacing w:before="240" w:afterLines="160" w:after="384" w:line="360" w:lineRule="auto"/>
              <w:ind w:left="14" w:right="96"/>
              <w:contextualSpacing/>
              <w:jc w:val="center"/>
              <w:rPr>
                <w:rFonts w:ascii="Tahoma" w:hAnsi="Tahoma" w:cs="Tahoma"/>
                <w:b/>
                <w:bCs/>
              </w:rPr>
            </w:pPr>
          </w:p>
        </w:tc>
        <w:tc>
          <w:tcPr>
            <w:tcW w:w="4414" w:type="dxa"/>
          </w:tcPr>
          <w:p w14:paraId="00A52ACE"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3862DD15"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2C4CFD67" w14:textId="77777777" w:rsidR="007B1C60" w:rsidRDefault="007B1C60"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20A2315C" w14:textId="77777777" w:rsidR="007B1C60" w:rsidRDefault="007B1C60"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0CD40364" w14:textId="77777777" w:rsidR="007B1C60" w:rsidRDefault="007B1C60"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3C92C0CF" w14:textId="77777777" w:rsidR="007B1C60" w:rsidRDefault="007B1C60"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43C843E6"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74E19D27"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0E56CFC4"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336D4994"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___________________________</w:t>
            </w:r>
          </w:p>
          <w:p w14:paraId="02AC6F29"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 xml:space="preserve">DIP.  MARÍA ESTHER MAGADÁN ALONZO </w:t>
            </w:r>
          </w:p>
          <w:p w14:paraId="2C313ACF"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INTEGRANTE DE LA FRACCIÓN LEGISLATIVA DE MORENA</w:t>
            </w:r>
          </w:p>
          <w:p w14:paraId="77A9D28B"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48FF09F1"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7B2D4EAB"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094C6134" w14:textId="77777777" w:rsidR="007B1C60" w:rsidRDefault="007B1C60"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142FFA73"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tc>
      </w:tr>
      <w:tr w:rsidR="004826D3" w14:paraId="5E3FF149" w14:textId="77777777" w:rsidTr="0043297A">
        <w:tc>
          <w:tcPr>
            <w:tcW w:w="4414" w:type="dxa"/>
          </w:tcPr>
          <w:p w14:paraId="306BBAC5"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2FE8F228"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w:t>
            </w:r>
          </w:p>
          <w:p w14:paraId="169EB32A"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DIP.  ERIC EDGARDO QUIJANO GONZÁLEZ</w:t>
            </w:r>
          </w:p>
          <w:p w14:paraId="614C026F"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INTEGRANTE DE LA FRACCIÓN LEGISLATIVA DE MORENA</w:t>
            </w:r>
          </w:p>
          <w:p w14:paraId="3C0654A9"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tc>
        <w:tc>
          <w:tcPr>
            <w:tcW w:w="4414" w:type="dxa"/>
          </w:tcPr>
          <w:p w14:paraId="59EAA64B"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19FA6F5A"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___________________________</w:t>
            </w:r>
          </w:p>
          <w:p w14:paraId="378E9CF2"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DIP.  MARIBEL DEL ROSARIO CHUC AYALA</w:t>
            </w:r>
          </w:p>
          <w:p w14:paraId="7527D42A"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INTEGRANTE DE LA FRACCIÓN LEGISLATIVA DE MORENA</w:t>
            </w:r>
          </w:p>
          <w:p w14:paraId="140350D0"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tc>
      </w:tr>
      <w:tr w:rsidR="004826D3" w14:paraId="0404B4D8" w14:textId="77777777" w:rsidTr="0043297A">
        <w:tc>
          <w:tcPr>
            <w:tcW w:w="4414" w:type="dxa"/>
          </w:tcPr>
          <w:p w14:paraId="69117350"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5D81BE45"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556D40B8"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5239C601" w14:textId="77777777" w:rsidR="007B1C60" w:rsidRDefault="007B1C60"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0D6E0476" w14:textId="77777777" w:rsidR="007B1C60" w:rsidRDefault="007B1C60"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5B58C303"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773E20B4"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257998B2"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44E3AF84"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w:t>
            </w:r>
          </w:p>
          <w:p w14:paraId="6DD14666"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DIP. WILBER DZUL CANUL</w:t>
            </w:r>
          </w:p>
          <w:p w14:paraId="1086A308"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INTEGRANTE DE LA FRACCIÓN LEGISLATIVA DE MORENA</w:t>
            </w:r>
          </w:p>
          <w:p w14:paraId="182913A5"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7AE35B15"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tc>
        <w:tc>
          <w:tcPr>
            <w:tcW w:w="4414" w:type="dxa"/>
          </w:tcPr>
          <w:p w14:paraId="54582C16"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55A0377C"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7E7D74AC"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2DF1E884"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50ADCC27" w14:textId="77777777" w:rsidR="007B1C60" w:rsidRDefault="007B1C60"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367DD13B" w14:textId="77777777" w:rsidR="007B1C60" w:rsidRDefault="007B1C60"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3471D783"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0E6581FA"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67380EF0"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___________________________</w:t>
            </w:r>
          </w:p>
          <w:p w14:paraId="6CA1F316" w14:textId="77777777" w:rsidR="004826D3" w:rsidRDefault="004826D3" w:rsidP="0043297A">
            <w:pPr>
              <w:autoSpaceDE w:val="0"/>
              <w:autoSpaceDN w:val="0"/>
              <w:adjustRightInd w:val="0"/>
              <w:spacing w:before="240" w:afterLines="160" w:after="384" w:line="360" w:lineRule="auto"/>
              <w:ind w:left="14" w:right="96"/>
              <w:contextualSpacing/>
              <w:rPr>
                <w:rFonts w:ascii="Tahoma" w:hAnsi="Tahoma" w:cs="Tahoma"/>
                <w:b/>
                <w:bCs/>
              </w:rPr>
            </w:pPr>
            <w:r>
              <w:rPr>
                <w:rFonts w:ascii="Tahoma" w:hAnsi="Tahoma" w:cs="Tahoma"/>
                <w:b/>
                <w:bCs/>
              </w:rPr>
              <w:t>DIP. AYDÉ VERÓNICA INTERIÁN ARGUELLO, INTEGRANTE DE LA FRACCIÓN LEGISLATIVA DE MORENA</w:t>
            </w:r>
          </w:p>
          <w:p w14:paraId="1BF79465"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tc>
      </w:tr>
    </w:tbl>
    <w:p w14:paraId="52BB3D6E" w14:textId="77777777" w:rsidR="004826D3" w:rsidRPr="00B852CF" w:rsidRDefault="004826D3" w:rsidP="004826D3">
      <w:pPr>
        <w:tabs>
          <w:tab w:val="left" w:pos="709"/>
        </w:tabs>
        <w:spacing w:line="240" w:lineRule="auto"/>
        <w:rPr>
          <w:rFonts w:ascii="Arial" w:hAnsi="Arial" w:cs="Arial"/>
          <w:shd w:val="clear" w:color="auto" w:fill="FFFFFF"/>
        </w:rPr>
      </w:pPr>
    </w:p>
    <w:p w14:paraId="41552C0F" w14:textId="77777777" w:rsidR="00202B1C" w:rsidRPr="004826D3" w:rsidRDefault="00202B1C" w:rsidP="004826D3"/>
    <w:sectPr w:rsidR="00202B1C" w:rsidRPr="004826D3" w:rsidSect="00202B1C">
      <w:headerReference w:type="even" r:id="rId7"/>
      <w:headerReference w:type="default" r:id="rId8"/>
      <w:footerReference w:type="even" r:id="rId9"/>
      <w:footerReference w:type="default" r:id="rId10"/>
      <w:headerReference w:type="first" r:id="rId11"/>
      <w:pgSz w:w="12240" w:h="15840"/>
      <w:pgMar w:top="2280" w:right="1654" w:bottom="1368" w:left="1699" w:header="901"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FBB528" w14:textId="77777777" w:rsidR="00877162" w:rsidRDefault="00877162">
      <w:pPr>
        <w:spacing w:after="0" w:line="240" w:lineRule="auto"/>
      </w:pPr>
      <w:r>
        <w:separator/>
      </w:r>
    </w:p>
  </w:endnote>
  <w:endnote w:type="continuationSeparator" w:id="0">
    <w:p w14:paraId="7EA19F0B" w14:textId="77777777" w:rsidR="00877162" w:rsidRDefault="00877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rPr>
      <w:id w:val="-1097098073"/>
      <w:docPartObj>
        <w:docPartGallery w:val="Page Numbers (Bottom of Page)"/>
        <w:docPartUnique/>
      </w:docPartObj>
    </w:sdtPr>
    <w:sdtEndPr>
      <w:rPr>
        <w:rStyle w:val="Nmerodepgina"/>
      </w:rPr>
    </w:sdtEndPr>
    <w:sdtContent>
      <w:p w14:paraId="66986350" w14:textId="11060DF4" w:rsidR="00B16609" w:rsidRDefault="00B16609" w:rsidP="00E96734">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52C7BDC" w14:textId="77777777" w:rsidR="00B16609" w:rsidRDefault="00B16609" w:rsidP="00645126">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rPr>
      <w:id w:val="592283958"/>
      <w:docPartObj>
        <w:docPartGallery w:val="Page Numbers (Bottom of Page)"/>
        <w:docPartUnique/>
      </w:docPartObj>
    </w:sdtPr>
    <w:sdtEndPr>
      <w:rPr>
        <w:rStyle w:val="Nmerodepgina"/>
      </w:rPr>
    </w:sdtEndPr>
    <w:sdtContent>
      <w:p w14:paraId="7F39F197" w14:textId="39FBEDAA" w:rsidR="00B16609" w:rsidRDefault="00B16609" w:rsidP="00E96734">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877162">
          <w:rPr>
            <w:rStyle w:val="Nmerodepgina"/>
            <w:noProof/>
          </w:rPr>
          <w:t>1</w:t>
        </w:r>
        <w:r>
          <w:rPr>
            <w:rStyle w:val="Nmerodepgina"/>
          </w:rPr>
          <w:fldChar w:fldCharType="end"/>
        </w:r>
      </w:p>
    </w:sdtContent>
  </w:sdt>
  <w:p w14:paraId="26FAD13E" w14:textId="77777777" w:rsidR="00B16609" w:rsidRDefault="00B16609" w:rsidP="00645126">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C2894F" w14:textId="77777777" w:rsidR="00877162" w:rsidRDefault="00877162">
      <w:pPr>
        <w:spacing w:after="0" w:line="240" w:lineRule="auto"/>
      </w:pPr>
      <w:r>
        <w:separator/>
      </w:r>
    </w:p>
  </w:footnote>
  <w:footnote w:type="continuationSeparator" w:id="0">
    <w:p w14:paraId="3AACBF66" w14:textId="77777777" w:rsidR="00877162" w:rsidRDefault="008771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5984C" w14:textId="77777777" w:rsidR="00B16609" w:rsidRDefault="00B16609">
    <w:pPr>
      <w:spacing w:after="0" w:line="259" w:lineRule="auto"/>
      <w:ind w:left="0" w:right="0" w:firstLine="0"/>
      <w:jc w:val="left"/>
    </w:pPr>
    <w:r>
      <w:rPr>
        <w:noProof/>
      </w:rPr>
      <w:drawing>
        <wp:anchor distT="0" distB="0" distL="114300" distR="114300" simplePos="0" relativeHeight="251658240" behindDoc="0" locked="0" layoutInCell="1" allowOverlap="0" wp14:anchorId="3ED04CBE" wp14:editId="581CE9C4">
          <wp:simplePos x="0" y="0"/>
          <wp:positionH relativeFrom="page">
            <wp:posOffset>870586</wp:posOffset>
          </wp:positionH>
          <wp:positionV relativeFrom="page">
            <wp:posOffset>572136</wp:posOffset>
          </wp:positionV>
          <wp:extent cx="2398776" cy="551688"/>
          <wp:effectExtent l="0" t="0" r="0" b="0"/>
          <wp:wrapSquare wrapText="bothSides"/>
          <wp:docPr id="1" name="Picture 23300"/>
          <wp:cNvGraphicFramePr/>
          <a:graphic xmlns:a="http://schemas.openxmlformats.org/drawingml/2006/main">
            <a:graphicData uri="http://schemas.openxmlformats.org/drawingml/2006/picture">
              <pic:pic xmlns:pic="http://schemas.openxmlformats.org/drawingml/2006/picture">
                <pic:nvPicPr>
                  <pic:cNvPr id="23300" name="Picture 23300"/>
                  <pic:cNvPicPr/>
                </pic:nvPicPr>
                <pic:blipFill>
                  <a:blip r:embed="rId1"/>
                  <a:stretch>
                    <a:fillRect/>
                  </a:stretch>
                </pic:blipFill>
                <pic:spPr>
                  <a:xfrm>
                    <a:off x="0" y="0"/>
                    <a:ext cx="2398776" cy="551688"/>
                  </a:xfrm>
                  <a:prstGeom prst="rect">
                    <a:avLst/>
                  </a:prstGeom>
                </pic:spPr>
              </pic:pic>
            </a:graphicData>
          </a:graphic>
        </wp:anchor>
      </w:drawing>
    </w:r>
    <w:r>
      <w:rPr>
        <w:noProof/>
      </w:rPr>
      <w:drawing>
        <wp:anchor distT="0" distB="0" distL="114300" distR="114300" simplePos="0" relativeHeight="251659264" behindDoc="0" locked="0" layoutInCell="1" allowOverlap="0" wp14:anchorId="6840EEC0" wp14:editId="1E1420D5">
          <wp:simplePos x="0" y="0"/>
          <wp:positionH relativeFrom="page">
            <wp:posOffset>5258437</wp:posOffset>
          </wp:positionH>
          <wp:positionV relativeFrom="page">
            <wp:posOffset>635636</wp:posOffset>
          </wp:positionV>
          <wp:extent cx="1644015" cy="444500"/>
          <wp:effectExtent l="0" t="0" r="0" b="0"/>
          <wp:wrapSquare wrapText="bothSides"/>
          <wp:docPr id="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stretch>
                    <a:fillRect/>
                  </a:stretch>
                </pic:blipFill>
                <pic:spPr>
                  <a:xfrm>
                    <a:off x="0" y="0"/>
                    <a:ext cx="1644015" cy="444500"/>
                  </a:xfrm>
                  <a:prstGeom prst="rect">
                    <a:avLst/>
                  </a:prstGeom>
                </pic:spPr>
              </pic:pic>
            </a:graphicData>
          </a:graphic>
        </wp:anchor>
      </w:drawing>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6496C9" w14:textId="77777777" w:rsidR="00B16609" w:rsidRDefault="00B16609">
    <w:pPr>
      <w:spacing w:after="0" w:line="259" w:lineRule="auto"/>
      <w:ind w:left="0" w:right="0" w:firstLine="0"/>
      <w:jc w:val="left"/>
    </w:pPr>
    <w:r>
      <w:rPr>
        <w:noProof/>
      </w:rPr>
      <w:drawing>
        <wp:anchor distT="0" distB="0" distL="114300" distR="114300" simplePos="0" relativeHeight="251660288" behindDoc="0" locked="0" layoutInCell="1" allowOverlap="0" wp14:anchorId="053C4022" wp14:editId="73750707">
          <wp:simplePos x="0" y="0"/>
          <wp:positionH relativeFrom="page">
            <wp:posOffset>870586</wp:posOffset>
          </wp:positionH>
          <wp:positionV relativeFrom="page">
            <wp:posOffset>572136</wp:posOffset>
          </wp:positionV>
          <wp:extent cx="2398776" cy="551688"/>
          <wp:effectExtent l="0" t="0" r="0" b="0"/>
          <wp:wrapSquare wrapText="bothSides"/>
          <wp:docPr id="3" name="Picture 23300"/>
          <wp:cNvGraphicFramePr/>
          <a:graphic xmlns:a="http://schemas.openxmlformats.org/drawingml/2006/main">
            <a:graphicData uri="http://schemas.openxmlformats.org/drawingml/2006/picture">
              <pic:pic xmlns:pic="http://schemas.openxmlformats.org/drawingml/2006/picture">
                <pic:nvPicPr>
                  <pic:cNvPr id="23300" name="Picture 23300"/>
                  <pic:cNvPicPr/>
                </pic:nvPicPr>
                <pic:blipFill>
                  <a:blip r:embed="rId1"/>
                  <a:stretch>
                    <a:fillRect/>
                  </a:stretch>
                </pic:blipFill>
                <pic:spPr>
                  <a:xfrm>
                    <a:off x="0" y="0"/>
                    <a:ext cx="2398776" cy="551688"/>
                  </a:xfrm>
                  <a:prstGeom prst="rect">
                    <a:avLst/>
                  </a:prstGeom>
                </pic:spPr>
              </pic:pic>
            </a:graphicData>
          </a:graphic>
        </wp:anchor>
      </w:drawing>
    </w:r>
    <w:r>
      <w:rPr>
        <w:noProof/>
      </w:rPr>
      <w:drawing>
        <wp:anchor distT="0" distB="0" distL="114300" distR="114300" simplePos="0" relativeHeight="251661312" behindDoc="0" locked="0" layoutInCell="1" allowOverlap="0" wp14:anchorId="6B9B9DF6" wp14:editId="4C07E153">
          <wp:simplePos x="0" y="0"/>
          <wp:positionH relativeFrom="page">
            <wp:posOffset>5258437</wp:posOffset>
          </wp:positionH>
          <wp:positionV relativeFrom="page">
            <wp:posOffset>635636</wp:posOffset>
          </wp:positionV>
          <wp:extent cx="1644015" cy="444500"/>
          <wp:effectExtent l="0" t="0" r="0" b="0"/>
          <wp:wrapSquare wrapText="bothSides"/>
          <wp:docPr id="4"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stretch>
                    <a:fillRect/>
                  </a:stretch>
                </pic:blipFill>
                <pic:spPr>
                  <a:xfrm>
                    <a:off x="0" y="0"/>
                    <a:ext cx="1644015" cy="444500"/>
                  </a:xfrm>
                  <a:prstGeom prst="rect">
                    <a:avLst/>
                  </a:prstGeom>
                </pic:spPr>
              </pic:pic>
            </a:graphicData>
          </a:graphic>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77B3F3" w14:textId="77777777" w:rsidR="00B16609" w:rsidRDefault="00B16609">
    <w:pPr>
      <w:spacing w:after="0" w:line="259" w:lineRule="auto"/>
      <w:ind w:left="0" w:right="0" w:firstLine="0"/>
      <w:jc w:val="left"/>
    </w:pPr>
    <w:r>
      <w:rPr>
        <w:noProof/>
      </w:rPr>
      <w:drawing>
        <wp:anchor distT="0" distB="0" distL="114300" distR="114300" simplePos="0" relativeHeight="251662336" behindDoc="0" locked="0" layoutInCell="1" allowOverlap="0" wp14:anchorId="655C09D6" wp14:editId="16F24B09">
          <wp:simplePos x="0" y="0"/>
          <wp:positionH relativeFrom="page">
            <wp:posOffset>870586</wp:posOffset>
          </wp:positionH>
          <wp:positionV relativeFrom="page">
            <wp:posOffset>572136</wp:posOffset>
          </wp:positionV>
          <wp:extent cx="2398776" cy="551688"/>
          <wp:effectExtent l="0" t="0" r="0" b="0"/>
          <wp:wrapSquare wrapText="bothSides"/>
          <wp:docPr id="5" name="Picture 23300"/>
          <wp:cNvGraphicFramePr/>
          <a:graphic xmlns:a="http://schemas.openxmlformats.org/drawingml/2006/main">
            <a:graphicData uri="http://schemas.openxmlformats.org/drawingml/2006/picture">
              <pic:pic xmlns:pic="http://schemas.openxmlformats.org/drawingml/2006/picture">
                <pic:nvPicPr>
                  <pic:cNvPr id="23300" name="Picture 23300"/>
                  <pic:cNvPicPr/>
                </pic:nvPicPr>
                <pic:blipFill>
                  <a:blip r:embed="rId1"/>
                  <a:stretch>
                    <a:fillRect/>
                  </a:stretch>
                </pic:blipFill>
                <pic:spPr>
                  <a:xfrm>
                    <a:off x="0" y="0"/>
                    <a:ext cx="2398776" cy="551688"/>
                  </a:xfrm>
                  <a:prstGeom prst="rect">
                    <a:avLst/>
                  </a:prstGeom>
                </pic:spPr>
              </pic:pic>
            </a:graphicData>
          </a:graphic>
        </wp:anchor>
      </w:drawing>
    </w:r>
    <w:r>
      <w:rPr>
        <w:noProof/>
      </w:rPr>
      <w:drawing>
        <wp:anchor distT="0" distB="0" distL="114300" distR="114300" simplePos="0" relativeHeight="251663360" behindDoc="0" locked="0" layoutInCell="1" allowOverlap="0" wp14:anchorId="68354826" wp14:editId="5F1DB644">
          <wp:simplePos x="0" y="0"/>
          <wp:positionH relativeFrom="page">
            <wp:posOffset>5258437</wp:posOffset>
          </wp:positionH>
          <wp:positionV relativeFrom="page">
            <wp:posOffset>635636</wp:posOffset>
          </wp:positionV>
          <wp:extent cx="1644015" cy="444500"/>
          <wp:effectExtent l="0" t="0" r="0" b="0"/>
          <wp:wrapSquare wrapText="bothSides"/>
          <wp:docPr id="6"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stretch>
                    <a:fillRect/>
                  </a:stretch>
                </pic:blipFill>
                <pic:spPr>
                  <a:xfrm>
                    <a:off x="0" y="0"/>
                    <a:ext cx="1644015" cy="444500"/>
                  </a:xfrm>
                  <a:prstGeom prst="rect">
                    <a:avLst/>
                  </a:prstGeom>
                </pic:spPr>
              </pic:pic>
            </a:graphicData>
          </a:graphic>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566C3"/>
    <w:multiLevelType w:val="hybridMultilevel"/>
    <w:tmpl w:val="397A84A0"/>
    <w:lvl w:ilvl="0" w:tplc="3884B200">
      <w:start w:val="1"/>
      <w:numFmt w:val="upperRoman"/>
      <w:lvlText w:val="%1.-"/>
      <w:lvlJc w:val="right"/>
      <w:pPr>
        <w:tabs>
          <w:tab w:val="num" w:pos="56"/>
        </w:tabs>
        <w:ind w:left="-851" w:firstLine="851"/>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F806155"/>
    <w:multiLevelType w:val="hybridMultilevel"/>
    <w:tmpl w:val="A4307948"/>
    <w:lvl w:ilvl="0" w:tplc="3884B200">
      <w:start w:val="1"/>
      <w:numFmt w:val="upperRoman"/>
      <w:lvlText w:val="%1.-"/>
      <w:lvlJc w:val="right"/>
      <w:pPr>
        <w:tabs>
          <w:tab w:val="num" w:pos="56"/>
        </w:tabs>
        <w:ind w:left="-851" w:firstLine="851"/>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84D09C3"/>
    <w:multiLevelType w:val="hybridMultilevel"/>
    <w:tmpl w:val="74A68028"/>
    <w:lvl w:ilvl="0" w:tplc="0156A28A">
      <w:start w:val="3"/>
      <w:numFmt w:val="upperRoman"/>
      <w:lvlText w:val="%1."/>
      <w:lvlJc w:val="left"/>
      <w:pPr>
        <w:ind w:left="107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1" w:tplc="21B45648">
      <w:start w:val="1"/>
      <w:numFmt w:val="lowerLetter"/>
      <w:lvlText w:val="%2"/>
      <w:lvlJc w:val="left"/>
      <w:pPr>
        <w:ind w:left="143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2" w:tplc="6BEA71D0">
      <w:start w:val="1"/>
      <w:numFmt w:val="lowerRoman"/>
      <w:lvlText w:val="%3"/>
      <w:lvlJc w:val="left"/>
      <w:pPr>
        <w:ind w:left="215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3" w:tplc="9A401E4E">
      <w:start w:val="1"/>
      <w:numFmt w:val="decimal"/>
      <w:lvlText w:val="%4"/>
      <w:lvlJc w:val="left"/>
      <w:pPr>
        <w:ind w:left="287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4" w:tplc="E1728690">
      <w:start w:val="1"/>
      <w:numFmt w:val="lowerLetter"/>
      <w:lvlText w:val="%5"/>
      <w:lvlJc w:val="left"/>
      <w:pPr>
        <w:ind w:left="359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5" w:tplc="E7B6F90C">
      <w:start w:val="1"/>
      <w:numFmt w:val="lowerRoman"/>
      <w:lvlText w:val="%6"/>
      <w:lvlJc w:val="left"/>
      <w:pPr>
        <w:ind w:left="431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6" w:tplc="DB6C45B2">
      <w:start w:val="1"/>
      <w:numFmt w:val="decimal"/>
      <w:lvlText w:val="%7"/>
      <w:lvlJc w:val="left"/>
      <w:pPr>
        <w:ind w:left="503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7" w:tplc="3A90EFFE">
      <w:start w:val="1"/>
      <w:numFmt w:val="lowerLetter"/>
      <w:lvlText w:val="%8"/>
      <w:lvlJc w:val="left"/>
      <w:pPr>
        <w:ind w:left="575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8" w:tplc="88D493EE">
      <w:start w:val="1"/>
      <w:numFmt w:val="lowerRoman"/>
      <w:lvlText w:val="%9"/>
      <w:lvlJc w:val="left"/>
      <w:pPr>
        <w:ind w:left="647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abstractNum>
  <w:abstractNum w:abstractNumId="3">
    <w:nsid w:val="235409BC"/>
    <w:multiLevelType w:val="hybridMultilevel"/>
    <w:tmpl w:val="41D025EA"/>
    <w:lvl w:ilvl="0" w:tplc="A560E11C">
      <w:start w:val="1"/>
      <w:numFmt w:val="upperRoman"/>
      <w:lvlText w:val="%1.-"/>
      <w:lvlJc w:val="right"/>
      <w:pPr>
        <w:tabs>
          <w:tab w:val="num" w:pos="56"/>
        </w:tabs>
        <w:ind w:left="-851" w:firstLine="851"/>
      </w:pPr>
      <w:rPr>
        <w:rFonts w:hint="default"/>
        <w:b/>
        <w:i w:val="0"/>
      </w:rPr>
    </w:lvl>
    <w:lvl w:ilvl="1" w:tplc="0C0A0019" w:tentative="1">
      <w:start w:val="1"/>
      <w:numFmt w:val="lowerLetter"/>
      <w:lvlText w:val="%2."/>
      <w:lvlJc w:val="left"/>
      <w:pPr>
        <w:tabs>
          <w:tab w:val="num" w:pos="930"/>
        </w:tabs>
        <w:ind w:left="930" w:hanging="360"/>
      </w:pPr>
    </w:lvl>
    <w:lvl w:ilvl="2" w:tplc="0C0A001B" w:tentative="1">
      <w:start w:val="1"/>
      <w:numFmt w:val="lowerRoman"/>
      <w:lvlText w:val="%3."/>
      <w:lvlJc w:val="right"/>
      <w:pPr>
        <w:tabs>
          <w:tab w:val="num" w:pos="1650"/>
        </w:tabs>
        <w:ind w:left="1650" w:hanging="180"/>
      </w:pPr>
    </w:lvl>
    <w:lvl w:ilvl="3" w:tplc="0C0A000F" w:tentative="1">
      <w:start w:val="1"/>
      <w:numFmt w:val="decimal"/>
      <w:lvlText w:val="%4."/>
      <w:lvlJc w:val="left"/>
      <w:pPr>
        <w:tabs>
          <w:tab w:val="num" w:pos="2370"/>
        </w:tabs>
        <w:ind w:left="2370" w:hanging="360"/>
      </w:pPr>
    </w:lvl>
    <w:lvl w:ilvl="4" w:tplc="0C0A0019" w:tentative="1">
      <w:start w:val="1"/>
      <w:numFmt w:val="lowerLetter"/>
      <w:lvlText w:val="%5."/>
      <w:lvlJc w:val="left"/>
      <w:pPr>
        <w:tabs>
          <w:tab w:val="num" w:pos="3090"/>
        </w:tabs>
        <w:ind w:left="3090" w:hanging="360"/>
      </w:pPr>
    </w:lvl>
    <w:lvl w:ilvl="5" w:tplc="0C0A001B" w:tentative="1">
      <w:start w:val="1"/>
      <w:numFmt w:val="lowerRoman"/>
      <w:lvlText w:val="%6."/>
      <w:lvlJc w:val="right"/>
      <w:pPr>
        <w:tabs>
          <w:tab w:val="num" w:pos="3810"/>
        </w:tabs>
        <w:ind w:left="3810" w:hanging="180"/>
      </w:pPr>
    </w:lvl>
    <w:lvl w:ilvl="6" w:tplc="0C0A000F" w:tentative="1">
      <w:start w:val="1"/>
      <w:numFmt w:val="decimal"/>
      <w:lvlText w:val="%7."/>
      <w:lvlJc w:val="left"/>
      <w:pPr>
        <w:tabs>
          <w:tab w:val="num" w:pos="4530"/>
        </w:tabs>
        <w:ind w:left="4530" w:hanging="360"/>
      </w:pPr>
    </w:lvl>
    <w:lvl w:ilvl="7" w:tplc="0C0A0019" w:tentative="1">
      <w:start w:val="1"/>
      <w:numFmt w:val="lowerLetter"/>
      <w:lvlText w:val="%8."/>
      <w:lvlJc w:val="left"/>
      <w:pPr>
        <w:tabs>
          <w:tab w:val="num" w:pos="5250"/>
        </w:tabs>
        <w:ind w:left="5250" w:hanging="360"/>
      </w:pPr>
    </w:lvl>
    <w:lvl w:ilvl="8" w:tplc="0C0A001B" w:tentative="1">
      <w:start w:val="1"/>
      <w:numFmt w:val="lowerRoman"/>
      <w:lvlText w:val="%9."/>
      <w:lvlJc w:val="right"/>
      <w:pPr>
        <w:tabs>
          <w:tab w:val="num" w:pos="5970"/>
        </w:tabs>
        <w:ind w:left="5970" w:hanging="180"/>
      </w:pPr>
    </w:lvl>
  </w:abstractNum>
  <w:abstractNum w:abstractNumId="4">
    <w:nsid w:val="28B67EF3"/>
    <w:multiLevelType w:val="hybridMultilevel"/>
    <w:tmpl w:val="F3C2DBCC"/>
    <w:lvl w:ilvl="0" w:tplc="A10850CE">
      <w:start w:val="1"/>
      <w:numFmt w:val="upperLetter"/>
      <w:lvlText w:val="%1)"/>
      <w:lvlJc w:val="left"/>
      <w:pPr>
        <w:ind w:left="720"/>
      </w:pPr>
      <w:rPr>
        <w:rFonts w:ascii="Aptos" w:eastAsia="Aptos" w:hAnsi="Aptos" w:cs="Aptos"/>
        <w:b/>
        <w:bCs/>
        <w:i w:val="0"/>
        <w:strike w:val="0"/>
        <w:dstrike w:val="0"/>
        <w:color w:val="000000"/>
        <w:sz w:val="24"/>
        <w:szCs w:val="24"/>
        <w:u w:val="none" w:color="000000"/>
        <w:bdr w:val="none" w:sz="0" w:space="0" w:color="auto"/>
        <w:shd w:val="clear" w:color="auto" w:fill="auto"/>
        <w:vertAlign w:val="baseline"/>
      </w:rPr>
    </w:lvl>
    <w:lvl w:ilvl="1" w:tplc="7406781C">
      <w:start w:val="1"/>
      <w:numFmt w:val="lowerLetter"/>
      <w:lvlText w:val="%2"/>
      <w:lvlJc w:val="left"/>
      <w:pPr>
        <w:ind w:left="1440"/>
      </w:pPr>
      <w:rPr>
        <w:rFonts w:ascii="Aptos" w:eastAsia="Aptos" w:hAnsi="Aptos" w:cs="Aptos"/>
        <w:b/>
        <w:bCs/>
        <w:i w:val="0"/>
        <w:strike w:val="0"/>
        <w:dstrike w:val="0"/>
        <w:color w:val="000000"/>
        <w:sz w:val="24"/>
        <w:szCs w:val="24"/>
        <w:u w:val="none" w:color="000000"/>
        <w:bdr w:val="none" w:sz="0" w:space="0" w:color="auto"/>
        <w:shd w:val="clear" w:color="auto" w:fill="auto"/>
        <w:vertAlign w:val="baseline"/>
      </w:rPr>
    </w:lvl>
    <w:lvl w:ilvl="2" w:tplc="4B8E0616">
      <w:start w:val="1"/>
      <w:numFmt w:val="lowerRoman"/>
      <w:lvlText w:val="%3"/>
      <w:lvlJc w:val="left"/>
      <w:pPr>
        <w:ind w:left="2160"/>
      </w:pPr>
      <w:rPr>
        <w:rFonts w:ascii="Aptos" w:eastAsia="Aptos" w:hAnsi="Aptos" w:cs="Aptos"/>
        <w:b/>
        <w:bCs/>
        <w:i w:val="0"/>
        <w:strike w:val="0"/>
        <w:dstrike w:val="0"/>
        <w:color w:val="000000"/>
        <w:sz w:val="24"/>
        <w:szCs w:val="24"/>
        <w:u w:val="none" w:color="000000"/>
        <w:bdr w:val="none" w:sz="0" w:space="0" w:color="auto"/>
        <w:shd w:val="clear" w:color="auto" w:fill="auto"/>
        <w:vertAlign w:val="baseline"/>
      </w:rPr>
    </w:lvl>
    <w:lvl w:ilvl="3" w:tplc="F4D0595A">
      <w:start w:val="1"/>
      <w:numFmt w:val="decimal"/>
      <w:lvlText w:val="%4"/>
      <w:lvlJc w:val="left"/>
      <w:pPr>
        <w:ind w:left="2880"/>
      </w:pPr>
      <w:rPr>
        <w:rFonts w:ascii="Aptos" w:eastAsia="Aptos" w:hAnsi="Aptos" w:cs="Aptos"/>
        <w:b/>
        <w:bCs/>
        <w:i w:val="0"/>
        <w:strike w:val="0"/>
        <w:dstrike w:val="0"/>
        <w:color w:val="000000"/>
        <w:sz w:val="24"/>
        <w:szCs w:val="24"/>
        <w:u w:val="none" w:color="000000"/>
        <w:bdr w:val="none" w:sz="0" w:space="0" w:color="auto"/>
        <w:shd w:val="clear" w:color="auto" w:fill="auto"/>
        <w:vertAlign w:val="baseline"/>
      </w:rPr>
    </w:lvl>
    <w:lvl w:ilvl="4" w:tplc="67B88EB2">
      <w:start w:val="1"/>
      <w:numFmt w:val="lowerLetter"/>
      <w:lvlText w:val="%5"/>
      <w:lvlJc w:val="left"/>
      <w:pPr>
        <w:ind w:left="3600"/>
      </w:pPr>
      <w:rPr>
        <w:rFonts w:ascii="Aptos" w:eastAsia="Aptos" w:hAnsi="Aptos" w:cs="Aptos"/>
        <w:b/>
        <w:bCs/>
        <w:i w:val="0"/>
        <w:strike w:val="0"/>
        <w:dstrike w:val="0"/>
        <w:color w:val="000000"/>
        <w:sz w:val="24"/>
        <w:szCs w:val="24"/>
        <w:u w:val="none" w:color="000000"/>
        <w:bdr w:val="none" w:sz="0" w:space="0" w:color="auto"/>
        <w:shd w:val="clear" w:color="auto" w:fill="auto"/>
        <w:vertAlign w:val="baseline"/>
      </w:rPr>
    </w:lvl>
    <w:lvl w:ilvl="5" w:tplc="EFBC8D9E">
      <w:start w:val="1"/>
      <w:numFmt w:val="lowerRoman"/>
      <w:lvlText w:val="%6"/>
      <w:lvlJc w:val="left"/>
      <w:pPr>
        <w:ind w:left="4320"/>
      </w:pPr>
      <w:rPr>
        <w:rFonts w:ascii="Aptos" w:eastAsia="Aptos" w:hAnsi="Aptos" w:cs="Aptos"/>
        <w:b/>
        <w:bCs/>
        <w:i w:val="0"/>
        <w:strike w:val="0"/>
        <w:dstrike w:val="0"/>
        <w:color w:val="000000"/>
        <w:sz w:val="24"/>
        <w:szCs w:val="24"/>
        <w:u w:val="none" w:color="000000"/>
        <w:bdr w:val="none" w:sz="0" w:space="0" w:color="auto"/>
        <w:shd w:val="clear" w:color="auto" w:fill="auto"/>
        <w:vertAlign w:val="baseline"/>
      </w:rPr>
    </w:lvl>
    <w:lvl w:ilvl="6" w:tplc="50065D5A">
      <w:start w:val="1"/>
      <w:numFmt w:val="decimal"/>
      <w:lvlText w:val="%7"/>
      <w:lvlJc w:val="left"/>
      <w:pPr>
        <w:ind w:left="5040"/>
      </w:pPr>
      <w:rPr>
        <w:rFonts w:ascii="Aptos" w:eastAsia="Aptos" w:hAnsi="Aptos" w:cs="Aptos"/>
        <w:b/>
        <w:bCs/>
        <w:i w:val="0"/>
        <w:strike w:val="0"/>
        <w:dstrike w:val="0"/>
        <w:color w:val="000000"/>
        <w:sz w:val="24"/>
        <w:szCs w:val="24"/>
        <w:u w:val="none" w:color="000000"/>
        <w:bdr w:val="none" w:sz="0" w:space="0" w:color="auto"/>
        <w:shd w:val="clear" w:color="auto" w:fill="auto"/>
        <w:vertAlign w:val="baseline"/>
      </w:rPr>
    </w:lvl>
    <w:lvl w:ilvl="7" w:tplc="BAB07C26">
      <w:start w:val="1"/>
      <w:numFmt w:val="lowerLetter"/>
      <w:lvlText w:val="%8"/>
      <w:lvlJc w:val="left"/>
      <w:pPr>
        <w:ind w:left="5760"/>
      </w:pPr>
      <w:rPr>
        <w:rFonts w:ascii="Aptos" w:eastAsia="Aptos" w:hAnsi="Aptos" w:cs="Aptos"/>
        <w:b/>
        <w:bCs/>
        <w:i w:val="0"/>
        <w:strike w:val="0"/>
        <w:dstrike w:val="0"/>
        <w:color w:val="000000"/>
        <w:sz w:val="24"/>
        <w:szCs w:val="24"/>
        <w:u w:val="none" w:color="000000"/>
        <w:bdr w:val="none" w:sz="0" w:space="0" w:color="auto"/>
        <w:shd w:val="clear" w:color="auto" w:fill="auto"/>
        <w:vertAlign w:val="baseline"/>
      </w:rPr>
    </w:lvl>
    <w:lvl w:ilvl="8" w:tplc="63CAA4C2">
      <w:start w:val="1"/>
      <w:numFmt w:val="lowerRoman"/>
      <w:lvlText w:val="%9"/>
      <w:lvlJc w:val="left"/>
      <w:pPr>
        <w:ind w:left="6480"/>
      </w:pPr>
      <w:rPr>
        <w:rFonts w:ascii="Aptos" w:eastAsia="Aptos" w:hAnsi="Aptos" w:cs="Aptos"/>
        <w:b/>
        <w:bCs/>
        <w:i w:val="0"/>
        <w:strike w:val="0"/>
        <w:dstrike w:val="0"/>
        <w:color w:val="000000"/>
        <w:sz w:val="24"/>
        <w:szCs w:val="24"/>
        <w:u w:val="none" w:color="000000"/>
        <w:bdr w:val="none" w:sz="0" w:space="0" w:color="auto"/>
        <w:shd w:val="clear" w:color="auto" w:fill="auto"/>
        <w:vertAlign w:val="baseline"/>
      </w:rPr>
    </w:lvl>
  </w:abstractNum>
  <w:abstractNum w:abstractNumId="5">
    <w:nsid w:val="2B504DCF"/>
    <w:multiLevelType w:val="hybridMultilevel"/>
    <w:tmpl w:val="69B0DE98"/>
    <w:lvl w:ilvl="0" w:tplc="20861DEC">
      <w:start w:val="1"/>
      <w:numFmt w:val="upperLetter"/>
      <w:lvlText w:val="%1."/>
      <w:lvlJc w:val="left"/>
      <w:pPr>
        <w:ind w:left="426"/>
      </w:pPr>
      <w:rPr>
        <w:rFonts w:ascii="Aptos" w:eastAsia="Aptos" w:hAnsi="Aptos" w:cs="Aptos"/>
        <w:b/>
        <w:bCs/>
        <w:i w:val="0"/>
        <w:strike w:val="0"/>
        <w:dstrike w:val="0"/>
        <w:color w:val="000000"/>
        <w:sz w:val="24"/>
        <w:szCs w:val="24"/>
        <w:u w:val="none" w:color="000000"/>
        <w:bdr w:val="none" w:sz="0" w:space="0" w:color="auto"/>
        <w:shd w:val="clear" w:color="auto" w:fill="auto"/>
        <w:vertAlign w:val="baseline"/>
      </w:rPr>
    </w:lvl>
    <w:lvl w:ilvl="1" w:tplc="4F9A2B80">
      <w:start w:val="1"/>
      <w:numFmt w:val="lowerLetter"/>
      <w:lvlText w:val="%2"/>
      <w:lvlJc w:val="left"/>
      <w:pPr>
        <w:ind w:left="1080"/>
      </w:pPr>
      <w:rPr>
        <w:rFonts w:ascii="Aptos" w:eastAsia="Aptos" w:hAnsi="Aptos" w:cs="Aptos"/>
        <w:b/>
        <w:bCs/>
        <w:i w:val="0"/>
        <w:strike w:val="0"/>
        <w:dstrike w:val="0"/>
        <w:color w:val="000000"/>
        <w:sz w:val="24"/>
        <w:szCs w:val="24"/>
        <w:u w:val="none" w:color="000000"/>
        <w:bdr w:val="none" w:sz="0" w:space="0" w:color="auto"/>
        <w:shd w:val="clear" w:color="auto" w:fill="auto"/>
        <w:vertAlign w:val="baseline"/>
      </w:rPr>
    </w:lvl>
    <w:lvl w:ilvl="2" w:tplc="110C6C3C">
      <w:start w:val="1"/>
      <w:numFmt w:val="lowerRoman"/>
      <w:lvlText w:val="%3"/>
      <w:lvlJc w:val="left"/>
      <w:pPr>
        <w:ind w:left="1800"/>
      </w:pPr>
      <w:rPr>
        <w:rFonts w:ascii="Aptos" w:eastAsia="Aptos" w:hAnsi="Aptos" w:cs="Aptos"/>
        <w:b/>
        <w:bCs/>
        <w:i w:val="0"/>
        <w:strike w:val="0"/>
        <w:dstrike w:val="0"/>
        <w:color w:val="000000"/>
        <w:sz w:val="24"/>
        <w:szCs w:val="24"/>
        <w:u w:val="none" w:color="000000"/>
        <w:bdr w:val="none" w:sz="0" w:space="0" w:color="auto"/>
        <w:shd w:val="clear" w:color="auto" w:fill="auto"/>
        <w:vertAlign w:val="baseline"/>
      </w:rPr>
    </w:lvl>
    <w:lvl w:ilvl="3" w:tplc="A4468DE2">
      <w:start w:val="1"/>
      <w:numFmt w:val="decimal"/>
      <w:lvlText w:val="%4"/>
      <w:lvlJc w:val="left"/>
      <w:pPr>
        <w:ind w:left="2520"/>
      </w:pPr>
      <w:rPr>
        <w:rFonts w:ascii="Aptos" w:eastAsia="Aptos" w:hAnsi="Aptos" w:cs="Aptos"/>
        <w:b/>
        <w:bCs/>
        <w:i w:val="0"/>
        <w:strike w:val="0"/>
        <w:dstrike w:val="0"/>
        <w:color w:val="000000"/>
        <w:sz w:val="24"/>
        <w:szCs w:val="24"/>
        <w:u w:val="none" w:color="000000"/>
        <w:bdr w:val="none" w:sz="0" w:space="0" w:color="auto"/>
        <w:shd w:val="clear" w:color="auto" w:fill="auto"/>
        <w:vertAlign w:val="baseline"/>
      </w:rPr>
    </w:lvl>
    <w:lvl w:ilvl="4" w:tplc="79E6DDB0">
      <w:start w:val="1"/>
      <w:numFmt w:val="lowerLetter"/>
      <w:lvlText w:val="%5"/>
      <w:lvlJc w:val="left"/>
      <w:pPr>
        <w:ind w:left="3240"/>
      </w:pPr>
      <w:rPr>
        <w:rFonts w:ascii="Aptos" w:eastAsia="Aptos" w:hAnsi="Aptos" w:cs="Aptos"/>
        <w:b/>
        <w:bCs/>
        <w:i w:val="0"/>
        <w:strike w:val="0"/>
        <w:dstrike w:val="0"/>
        <w:color w:val="000000"/>
        <w:sz w:val="24"/>
        <w:szCs w:val="24"/>
        <w:u w:val="none" w:color="000000"/>
        <w:bdr w:val="none" w:sz="0" w:space="0" w:color="auto"/>
        <w:shd w:val="clear" w:color="auto" w:fill="auto"/>
        <w:vertAlign w:val="baseline"/>
      </w:rPr>
    </w:lvl>
    <w:lvl w:ilvl="5" w:tplc="3E383B62">
      <w:start w:val="1"/>
      <w:numFmt w:val="lowerRoman"/>
      <w:lvlText w:val="%6"/>
      <w:lvlJc w:val="left"/>
      <w:pPr>
        <w:ind w:left="3960"/>
      </w:pPr>
      <w:rPr>
        <w:rFonts w:ascii="Aptos" w:eastAsia="Aptos" w:hAnsi="Aptos" w:cs="Aptos"/>
        <w:b/>
        <w:bCs/>
        <w:i w:val="0"/>
        <w:strike w:val="0"/>
        <w:dstrike w:val="0"/>
        <w:color w:val="000000"/>
        <w:sz w:val="24"/>
        <w:szCs w:val="24"/>
        <w:u w:val="none" w:color="000000"/>
        <w:bdr w:val="none" w:sz="0" w:space="0" w:color="auto"/>
        <w:shd w:val="clear" w:color="auto" w:fill="auto"/>
        <w:vertAlign w:val="baseline"/>
      </w:rPr>
    </w:lvl>
    <w:lvl w:ilvl="6" w:tplc="6E16C968">
      <w:start w:val="1"/>
      <w:numFmt w:val="decimal"/>
      <w:lvlText w:val="%7"/>
      <w:lvlJc w:val="left"/>
      <w:pPr>
        <w:ind w:left="4680"/>
      </w:pPr>
      <w:rPr>
        <w:rFonts w:ascii="Aptos" w:eastAsia="Aptos" w:hAnsi="Aptos" w:cs="Aptos"/>
        <w:b/>
        <w:bCs/>
        <w:i w:val="0"/>
        <w:strike w:val="0"/>
        <w:dstrike w:val="0"/>
        <w:color w:val="000000"/>
        <w:sz w:val="24"/>
        <w:szCs w:val="24"/>
        <w:u w:val="none" w:color="000000"/>
        <w:bdr w:val="none" w:sz="0" w:space="0" w:color="auto"/>
        <w:shd w:val="clear" w:color="auto" w:fill="auto"/>
        <w:vertAlign w:val="baseline"/>
      </w:rPr>
    </w:lvl>
    <w:lvl w:ilvl="7" w:tplc="15EA2D34">
      <w:start w:val="1"/>
      <w:numFmt w:val="lowerLetter"/>
      <w:lvlText w:val="%8"/>
      <w:lvlJc w:val="left"/>
      <w:pPr>
        <w:ind w:left="5400"/>
      </w:pPr>
      <w:rPr>
        <w:rFonts w:ascii="Aptos" w:eastAsia="Aptos" w:hAnsi="Aptos" w:cs="Aptos"/>
        <w:b/>
        <w:bCs/>
        <w:i w:val="0"/>
        <w:strike w:val="0"/>
        <w:dstrike w:val="0"/>
        <w:color w:val="000000"/>
        <w:sz w:val="24"/>
        <w:szCs w:val="24"/>
        <w:u w:val="none" w:color="000000"/>
        <w:bdr w:val="none" w:sz="0" w:space="0" w:color="auto"/>
        <w:shd w:val="clear" w:color="auto" w:fill="auto"/>
        <w:vertAlign w:val="baseline"/>
      </w:rPr>
    </w:lvl>
    <w:lvl w:ilvl="8" w:tplc="968292F8">
      <w:start w:val="1"/>
      <w:numFmt w:val="lowerRoman"/>
      <w:lvlText w:val="%9"/>
      <w:lvlJc w:val="left"/>
      <w:pPr>
        <w:ind w:left="6120"/>
      </w:pPr>
      <w:rPr>
        <w:rFonts w:ascii="Aptos" w:eastAsia="Aptos" w:hAnsi="Aptos" w:cs="Aptos"/>
        <w:b/>
        <w:bCs/>
        <w:i w:val="0"/>
        <w:strike w:val="0"/>
        <w:dstrike w:val="0"/>
        <w:color w:val="000000"/>
        <w:sz w:val="24"/>
        <w:szCs w:val="24"/>
        <w:u w:val="none" w:color="000000"/>
        <w:bdr w:val="none" w:sz="0" w:space="0" w:color="auto"/>
        <w:shd w:val="clear" w:color="auto" w:fill="auto"/>
        <w:vertAlign w:val="baseline"/>
      </w:rPr>
    </w:lvl>
  </w:abstractNum>
  <w:abstractNum w:abstractNumId="6">
    <w:nsid w:val="33D82858"/>
    <w:multiLevelType w:val="hybridMultilevel"/>
    <w:tmpl w:val="DFBE3BA2"/>
    <w:lvl w:ilvl="0" w:tplc="344EF02C">
      <w:start w:val="1"/>
      <w:numFmt w:val="upperRoman"/>
      <w:lvlText w:val="%1."/>
      <w:lvlJc w:val="left"/>
      <w:pPr>
        <w:ind w:left="75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1" w:tplc="76A06BBA">
      <w:start w:val="1"/>
      <w:numFmt w:val="lowerLetter"/>
      <w:lvlText w:val="%2"/>
      <w:lvlJc w:val="left"/>
      <w:pPr>
        <w:ind w:left="122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2" w:tplc="4B36AF8E">
      <w:start w:val="1"/>
      <w:numFmt w:val="lowerRoman"/>
      <w:lvlText w:val="%3"/>
      <w:lvlJc w:val="left"/>
      <w:pPr>
        <w:ind w:left="194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3" w:tplc="6562CFCE">
      <w:start w:val="1"/>
      <w:numFmt w:val="decimal"/>
      <w:lvlText w:val="%4"/>
      <w:lvlJc w:val="left"/>
      <w:pPr>
        <w:ind w:left="266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4" w:tplc="C96E2278">
      <w:start w:val="1"/>
      <w:numFmt w:val="lowerLetter"/>
      <w:lvlText w:val="%5"/>
      <w:lvlJc w:val="left"/>
      <w:pPr>
        <w:ind w:left="338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5" w:tplc="AE28E5AC">
      <w:start w:val="1"/>
      <w:numFmt w:val="lowerRoman"/>
      <w:lvlText w:val="%6"/>
      <w:lvlJc w:val="left"/>
      <w:pPr>
        <w:ind w:left="410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6" w:tplc="BBDC7A02">
      <w:start w:val="1"/>
      <w:numFmt w:val="decimal"/>
      <w:lvlText w:val="%7"/>
      <w:lvlJc w:val="left"/>
      <w:pPr>
        <w:ind w:left="482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7" w:tplc="FEAA4C32">
      <w:start w:val="1"/>
      <w:numFmt w:val="lowerLetter"/>
      <w:lvlText w:val="%8"/>
      <w:lvlJc w:val="left"/>
      <w:pPr>
        <w:ind w:left="554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8" w:tplc="90C2F3B8">
      <w:start w:val="1"/>
      <w:numFmt w:val="lowerRoman"/>
      <w:lvlText w:val="%9"/>
      <w:lvlJc w:val="left"/>
      <w:pPr>
        <w:ind w:left="626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abstractNum>
  <w:abstractNum w:abstractNumId="7">
    <w:nsid w:val="39693DCD"/>
    <w:multiLevelType w:val="hybridMultilevel"/>
    <w:tmpl w:val="406E1F84"/>
    <w:lvl w:ilvl="0" w:tplc="A8FEBA80">
      <w:start w:val="1"/>
      <w:numFmt w:val="upperRoman"/>
      <w:lvlText w:val="%1.-"/>
      <w:lvlJc w:val="right"/>
      <w:pPr>
        <w:tabs>
          <w:tab w:val="num" w:pos="56"/>
        </w:tabs>
        <w:ind w:left="-851" w:firstLine="851"/>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2A2016D"/>
    <w:multiLevelType w:val="hybridMultilevel"/>
    <w:tmpl w:val="C86678A4"/>
    <w:lvl w:ilvl="0" w:tplc="B6BE05BC">
      <w:start w:val="1"/>
      <w:numFmt w:val="upperRoman"/>
      <w:lvlText w:val="%1."/>
      <w:lvlJc w:val="left"/>
      <w:pPr>
        <w:ind w:left="76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1" w:tplc="72DE27B8">
      <w:start w:val="1"/>
      <w:numFmt w:val="lowerLetter"/>
      <w:lvlText w:val="%2"/>
      <w:lvlJc w:val="left"/>
      <w:pPr>
        <w:ind w:left="122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2" w:tplc="404E6036">
      <w:start w:val="1"/>
      <w:numFmt w:val="lowerRoman"/>
      <w:lvlText w:val="%3"/>
      <w:lvlJc w:val="left"/>
      <w:pPr>
        <w:ind w:left="194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3" w:tplc="62442C90">
      <w:start w:val="1"/>
      <w:numFmt w:val="decimal"/>
      <w:lvlText w:val="%4"/>
      <w:lvlJc w:val="left"/>
      <w:pPr>
        <w:ind w:left="266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4" w:tplc="F334DC16">
      <w:start w:val="1"/>
      <w:numFmt w:val="lowerLetter"/>
      <w:lvlText w:val="%5"/>
      <w:lvlJc w:val="left"/>
      <w:pPr>
        <w:ind w:left="338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5" w:tplc="B3265F76">
      <w:start w:val="1"/>
      <w:numFmt w:val="lowerRoman"/>
      <w:lvlText w:val="%6"/>
      <w:lvlJc w:val="left"/>
      <w:pPr>
        <w:ind w:left="410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6" w:tplc="8EFAA83E">
      <w:start w:val="1"/>
      <w:numFmt w:val="decimal"/>
      <w:lvlText w:val="%7"/>
      <w:lvlJc w:val="left"/>
      <w:pPr>
        <w:ind w:left="482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7" w:tplc="DA3E0684">
      <w:start w:val="1"/>
      <w:numFmt w:val="lowerLetter"/>
      <w:lvlText w:val="%8"/>
      <w:lvlJc w:val="left"/>
      <w:pPr>
        <w:ind w:left="554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8" w:tplc="5C32836A">
      <w:start w:val="1"/>
      <w:numFmt w:val="lowerRoman"/>
      <w:lvlText w:val="%9"/>
      <w:lvlJc w:val="left"/>
      <w:pPr>
        <w:ind w:left="626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abstractNum>
  <w:abstractNum w:abstractNumId="9">
    <w:nsid w:val="44E5428C"/>
    <w:multiLevelType w:val="hybridMultilevel"/>
    <w:tmpl w:val="633E96B6"/>
    <w:lvl w:ilvl="0" w:tplc="56321D1A">
      <w:start w:val="1"/>
      <w:numFmt w:val="upperRoman"/>
      <w:lvlText w:val="%1."/>
      <w:lvlJc w:val="left"/>
      <w:pPr>
        <w:ind w:left="85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1" w:tplc="E828C63E">
      <w:start w:val="1"/>
      <w:numFmt w:val="lowerLetter"/>
      <w:lvlText w:val="%2"/>
      <w:lvlJc w:val="left"/>
      <w:pPr>
        <w:ind w:left="1364"/>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2" w:tplc="D3C49CF6">
      <w:start w:val="1"/>
      <w:numFmt w:val="lowerRoman"/>
      <w:lvlText w:val="%3"/>
      <w:lvlJc w:val="left"/>
      <w:pPr>
        <w:ind w:left="2084"/>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3" w:tplc="2EF253C4">
      <w:start w:val="1"/>
      <w:numFmt w:val="decimal"/>
      <w:lvlText w:val="%4"/>
      <w:lvlJc w:val="left"/>
      <w:pPr>
        <w:ind w:left="2804"/>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4" w:tplc="0F4410D0">
      <w:start w:val="1"/>
      <w:numFmt w:val="lowerLetter"/>
      <w:lvlText w:val="%5"/>
      <w:lvlJc w:val="left"/>
      <w:pPr>
        <w:ind w:left="3524"/>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5" w:tplc="473A1394">
      <w:start w:val="1"/>
      <w:numFmt w:val="lowerRoman"/>
      <w:lvlText w:val="%6"/>
      <w:lvlJc w:val="left"/>
      <w:pPr>
        <w:ind w:left="4244"/>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6" w:tplc="7E9CC56C">
      <w:start w:val="1"/>
      <w:numFmt w:val="decimal"/>
      <w:lvlText w:val="%7"/>
      <w:lvlJc w:val="left"/>
      <w:pPr>
        <w:ind w:left="4964"/>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7" w:tplc="7BF28AD2">
      <w:start w:val="1"/>
      <w:numFmt w:val="lowerLetter"/>
      <w:lvlText w:val="%8"/>
      <w:lvlJc w:val="left"/>
      <w:pPr>
        <w:ind w:left="5684"/>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8" w:tplc="18909F7A">
      <w:start w:val="1"/>
      <w:numFmt w:val="lowerRoman"/>
      <w:lvlText w:val="%9"/>
      <w:lvlJc w:val="left"/>
      <w:pPr>
        <w:ind w:left="6404"/>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abstractNum>
  <w:abstractNum w:abstractNumId="10">
    <w:nsid w:val="4ECD4EEA"/>
    <w:multiLevelType w:val="hybridMultilevel"/>
    <w:tmpl w:val="5BE6F8F2"/>
    <w:lvl w:ilvl="0" w:tplc="0308B4E8">
      <w:start w:val="7"/>
      <w:numFmt w:val="upperRoman"/>
      <w:lvlText w:val="%1."/>
      <w:lvlJc w:val="left"/>
      <w:pPr>
        <w:ind w:left="85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1" w:tplc="CBB0B04C">
      <w:start w:val="1"/>
      <w:numFmt w:val="lowerLetter"/>
      <w:lvlText w:val="%2"/>
      <w:lvlJc w:val="left"/>
      <w:pPr>
        <w:ind w:left="1364"/>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2" w:tplc="02DC2DEE">
      <w:start w:val="1"/>
      <w:numFmt w:val="lowerRoman"/>
      <w:lvlText w:val="%3"/>
      <w:lvlJc w:val="left"/>
      <w:pPr>
        <w:ind w:left="2084"/>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3" w:tplc="624A1636">
      <w:start w:val="1"/>
      <w:numFmt w:val="decimal"/>
      <w:lvlText w:val="%4"/>
      <w:lvlJc w:val="left"/>
      <w:pPr>
        <w:ind w:left="2804"/>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4" w:tplc="5D8067CC">
      <w:start w:val="1"/>
      <w:numFmt w:val="lowerLetter"/>
      <w:lvlText w:val="%5"/>
      <w:lvlJc w:val="left"/>
      <w:pPr>
        <w:ind w:left="3524"/>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5" w:tplc="7FFC86D4">
      <w:start w:val="1"/>
      <w:numFmt w:val="lowerRoman"/>
      <w:lvlText w:val="%6"/>
      <w:lvlJc w:val="left"/>
      <w:pPr>
        <w:ind w:left="4244"/>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6" w:tplc="03B45A76">
      <w:start w:val="1"/>
      <w:numFmt w:val="decimal"/>
      <w:lvlText w:val="%7"/>
      <w:lvlJc w:val="left"/>
      <w:pPr>
        <w:ind w:left="4964"/>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7" w:tplc="F6B2AF42">
      <w:start w:val="1"/>
      <w:numFmt w:val="lowerLetter"/>
      <w:lvlText w:val="%8"/>
      <w:lvlJc w:val="left"/>
      <w:pPr>
        <w:ind w:left="5684"/>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8" w:tplc="1460063A">
      <w:start w:val="1"/>
      <w:numFmt w:val="lowerRoman"/>
      <w:lvlText w:val="%9"/>
      <w:lvlJc w:val="left"/>
      <w:pPr>
        <w:ind w:left="6404"/>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abstractNum>
  <w:abstractNum w:abstractNumId="11">
    <w:nsid w:val="550F5B0F"/>
    <w:multiLevelType w:val="hybridMultilevel"/>
    <w:tmpl w:val="4C244FD8"/>
    <w:lvl w:ilvl="0" w:tplc="9FC264B4">
      <w:start w:val="1"/>
      <w:numFmt w:val="upperRoman"/>
      <w:lvlText w:val="%1."/>
      <w:lvlJc w:val="left"/>
      <w:pPr>
        <w:ind w:left="718"/>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1" w:tplc="B90477F2">
      <w:start w:val="1"/>
      <w:numFmt w:val="lowerLetter"/>
      <w:lvlText w:val="%2"/>
      <w:lvlJc w:val="left"/>
      <w:pPr>
        <w:ind w:left="1438"/>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2" w:tplc="094299E8">
      <w:start w:val="1"/>
      <w:numFmt w:val="lowerRoman"/>
      <w:lvlText w:val="%3"/>
      <w:lvlJc w:val="left"/>
      <w:pPr>
        <w:ind w:left="2158"/>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3" w:tplc="02FE01B6">
      <w:start w:val="1"/>
      <w:numFmt w:val="decimal"/>
      <w:lvlText w:val="%4"/>
      <w:lvlJc w:val="left"/>
      <w:pPr>
        <w:ind w:left="2878"/>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4" w:tplc="0D502936">
      <w:start w:val="1"/>
      <w:numFmt w:val="lowerLetter"/>
      <w:lvlText w:val="%5"/>
      <w:lvlJc w:val="left"/>
      <w:pPr>
        <w:ind w:left="3598"/>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5" w:tplc="56FC51E8">
      <w:start w:val="1"/>
      <w:numFmt w:val="lowerRoman"/>
      <w:lvlText w:val="%6"/>
      <w:lvlJc w:val="left"/>
      <w:pPr>
        <w:ind w:left="4318"/>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6" w:tplc="973C569E">
      <w:start w:val="1"/>
      <w:numFmt w:val="decimal"/>
      <w:lvlText w:val="%7"/>
      <w:lvlJc w:val="left"/>
      <w:pPr>
        <w:ind w:left="5038"/>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7" w:tplc="7EC2438E">
      <w:start w:val="1"/>
      <w:numFmt w:val="lowerLetter"/>
      <w:lvlText w:val="%8"/>
      <w:lvlJc w:val="left"/>
      <w:pPr>
        <w:ind w:left="5758"/>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8" w:tplc="1520EAC2">
      <w:start w:val="1"/>
      <w:numFmt w:val="lowerRoman"/>
      <w:lvlText w:val="%9"/>
      <w:lvlJc w:val="left"/>
      <w:pPr>
        <w:ind w:left="6478"/>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abstractNum>
  <w:abstractNum w:abstractNumId="12">
    <w:nsid w:val="655E02F9"/>
    <w:multiLevelType w:val="hybridMultilevel"/>
    <w:tmpl w:val="54583ACC"/>
    <w:lvl w:ilvl="0" w:tplc="A8FEBA80">
      <w:start w:val="1"/>
      <w:numFmt w:val="upperRoman"/>
      <w:lvlText w:val="%1.-"/>
      <w:lvlJc w:val="right"/>
      <w:pPr>
        <w:tabs>
          <w:tab w:val="num" w:pos="56"/>
        </w:tabs>
        <w:ind w:left="-851" w:firstLine="851"/>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8042CC6"/>
    <w:multiLevelType w:val="hybridMultilevel"/>
    <w:tmpl w:val="E0023FE2"/>
    <w:lvl w:ilvl="0" w:tplc="497A4AEE">
      <w:start w:val="1"/>
      <w:numFmt w:val="upperRoman"/>
      <w:lvlText w:val="%1."/>
      <w:lvlJc w:val="left"/>
      <w:pPr>
        <w:ind w:left="107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1" w:tplc="EC90E6E8">
      <w:start w:val="1"/>
      <w:numFmt w:val="lowerLetter"/>
      <w:lvlText w:val="%2"/>
      <w:lvlJc w:val="left"/>
      <w:pPr>
        <w:ind w:left="143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2" w:tplc="E79CD46E">
      <w:start w:val="1"/>
      <w:numFmt w:val="lowerRoman"/>
      <w:lvlText w:val="%3"/>
      <w:lvlJc w:val="left"/>
      <w:pPr>
        <w:ind w:left="215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3" w:tplc="0A34D7EA">
      <w:start w:val="1"/>
      <w:numFmt w:val="decimal"/>
      <w:lvlText w:val="%4"/>
      <w:lvlJc w:val="left"/>
      <w:pPr>
        <w:ind w:left="287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4" w:tplc="AB322F6E">
      <w:start w:val="1"/>
      <w:numFmt w:val="lowerLetter"/>
      <w:lvlText w:val="%5"/>
      <w:lvlJc w:val="left"/>
      <w:pPr>
        <w:ind w:left="359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5" w:tplc="19BA6F10">
      <w:start w:val="1"/>
      <w:numFmt w:val="lowerRoman"/>
      <w:lvlText w:val="%6"/>
      <w:lvlJc w:val="left"/>
      <w:pPr>
        <w:ind w:left="431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6" w:tplc="2F3677FE">
      <w:start w:val="1"/>
      <w:numFmt w:val="decimal"/>
      <w:lvlText w:val="%7"/>
      <w:lvlJc w:val="left"/>
      <w:pPr>
        <w:ind w:left="503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7" w:tplc="E3048D9C">
      <w:start w:val="1"/>
      <w:numFmt w:val="lowerLetter"/>
      <w:lvlText w:val="%8"/>
      <w:lvlJc w:val="left"/>
      <w:pPr>
        <w:ind w:left="575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8" w:tplc="3B2C51C8">
      <w:start w:val="1"/>
      <w:numFmt w:val="lowerRoman"/>
      <w:lvlText w:val="%9"/>
      <w:lvlJc w:val="left"/>
      <w:pPr>
        <w:ind w:left="647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abstractNum>
  <w:abstractNum w:abstractNumId="14">
    <w:nsid w:val="69E241C8"/>
    <w:multiLevelType w:val="hybridMultilevel"/>
    <w:tmpl w:val="CFDE1362"/>
    <w:lvl w:ilvl="0" w:tplc="0C5C7EA4">
      <w:start w:val="1"/>
      <w:numFmt w:val="upperRoman"/>
      <w:lvlText w:val="%1."/>
      <w:lvlJc w:val="left"/>
      <w:pPr>
        <w:ind w:left="782"/>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1" w:tplc="CC208970">
      <w:start w:val="1"/>
      <w:numFmt w:val="lowerLetter"/>
      <w:lvlText w:val="%2"/>
      <w:lvlJc w:val="left"/>
      <w:pPr>
        <w:ind w:left="124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2" w:tplc="26AE3176">
      <w:start w:val="1"/>
      <w:numFmt w:val="lowerRoman"/>
      <w:lvlText w:val="%3"/>
      <w:lvlJc w:val="left"/>
      <w:pPr>
        <w:ind w:left="196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3" w:tplc="C536406C">
      <w:start w:val="1"/>
      <w:numFmt w:val="decimal"/>
      <w:lvlText w:val="%4"/>
      <w:lvlJc w:val="left"/>
      <w:pPr>
        <w:ind w:left="268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4" w:tplc="EB689D1E">
      <w:start w:val="1"/>
      <w:numFmt w:val="lowerLetter"/>
      <w:lvlText w:val="%5"/>
      <w:lvlJc w:val="left"/>
      <w:pPr>
        <w:ind w:left="340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5" w:tplc="081C9892">
      <w:start w:val="1"/>
      <w:numFmt w:val="lowerRoman"/>
      <w:lvlText w:val="%6"/>
      <w:lvlJc w:val="left"/>
      <w:pPr>
        <w:ind w:left="412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6" w:tplc="AACE1578">
      <w:start w:val="1"/>
      <w:numFmt w:val="decimal"/>
      <w:lvlText w:val="%7"/>
      <w:lvlJc w:val="left"/>
      <w:pPr>
        <w:ind w:left="484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7" w:tplc="142410FA">
      <w:start w:val="1"/>
      <w:numFmt w:val="lowerLetter"/>
      <w:lvlText w:val="%8"/>
      <w:lvlJc w:val="left"/>
      <w:pPr>
        <w:ind w:left="556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8" w:tplc="963A98E8">
      <w:start w:val="1"/>
      <w:numFmt w:val="lowerRoman"/>
      <w:lvlText w:val="%9"/>
      <w:lvlJc w:val="left"/>
      <w:pPr>
        <w:ind w:left="628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abstractNum>
  <w:abstractNum w:abstractNumId="15">
    <w:nsid w:val="6F112E92"/>
    <w:multiLevelType w:val="hybridMultilevel"/>
    <w:tmpl w:val="95C88C00"/>
    <w:lvl w:ilvl="0" w:tplc="A560E11C">
      <w:start w:val="1"/>
      <w:numFmt w:val="upperRoman"/>
      <w:lvlText w:val="%1.-"/>
      <w:lvlJc w:val="right"/>
      <w:pPr>
        <w:tabs>
          <w:tab w:val="num" w:pos="56"/>
        </w:tabs>
        <w:ind w:left="-851" w:firstLine="851"/>
      </w:pPr>
      <w:rPr>
        <w:rFonts w:hint="default"/>
        <w:b/>
        <w:i w:val="0"/>
      </w:rPr>
    </w:lvl>
    <w:lvl w:ilvl="1" w:tplc="0C0A0019" w:tentative="1">
      <w:start w:val="1"/>
      <w:numFmt w:val="lowerLetter"/>
      <w:lvlText w:val="%2."/>
      <w:lvlJc w:val="left"/>
      <w:pPr>
        <w:tabs>
          <w:tab w:val="num" w:pos="930"/>
        </w:tabs>
        <w:ind w:left="930" w:hanging="360"/>
      </w:pPr>
    </w:lvl>
    <w:lvl w:ilvl="2" w:tplc="0C0A001B" w:tentative="1">
      <w:start w:val="1"/>
      <w:numFmt w:val="lowerRoman"/>
      <w:lvlText w:val="%3."/>
      <w:lvlJc w:val="right"/>
      <w:pPr>
        <w:tabs>
          <w:tab w:val="num" w:pos="1650"/>
        </w:tabs>
        <w:ind w:left="1650" w:hanging="180"/>
      </w:pPr>
    </w:lvl>
    <w:lvl w:ilvl="3" w:tplc="0C0A000F" w:tentative="1">
      <w:start w:val="1"/>
      <w:numFmt w:val="decimal"/>
      <w:lvlText w:val="%4."/>
      <w:lvlJc w:val="left"/>
      <w:pPr>
        <w:tabs>
          <w:tab w:val="num" w:pos="2370"/>
        </w:tabs>
        <w:ind w:left="2370" w:hanging="360"/>
      </w:pPr>
    </w:lvl>
    <w:lvl w:ilvl="4" w:tplc="0C0A0019" w:tentative="1">
      <w:start w:val="1"/>
      <w:numFmt w:val="lowerLetter"/>
      <w:lvlText w:val="%5."/>
      <w:lvlJc w:val="left"/>
      <w:pPr>
        <w:tabs>
          <w:tab w:val="num" w:pos="3090"/>
        </w:tabs>
        <w:ind w:left="3090" w:hanging="360"/>
      </w:pPr>
    </w:lvl>
    <w:lvl w:ilvl="5" w:tplc="0C0A001B" w:tentative="1">
      <w:start w:val="1"/>
      <w:numFmt w:val="lowerRoman"/>
      <w:lvlText w:val="%6."/>
      <w:lvlJc w:val="right"/>
      <w:pPr>
        <w:tabs>
          <w:tab w:val="num" w:pos="3810"/>
        </w:tabs>
        <w:ind w:left="3810" w:hanging="180"/>
      </w:pPr>
    </w:lvl>
    <w:lvl w:ilvl="6" w:tplc="0C0A000F" w:tentative="1">
      <w:start w:val="1"/>
      <w:numFmt w:val="decimal"/>
      <w:lvlText w:val="%7."/>
      <w:lvlJc w:val="left"/>
      <w:pPr>
        <w:tabs>
          <w:tab w:val="num" w:pos="4530"/>
        </w:tabs>
        <w:ind w:left="4530" w:hanging="360"/>
      </w:pPr>
    </w:lvl>
    <w:lvl w:ilvl="7" w:tplc="0C0A0019" w:tentative="1">
      <w:start w:val="1"/>
      <w:numFmt w:val="lowerLetter"/>
      <w:lvlText w:val="%8."/>
      <w:lvlJc w:val="left"/>
      <w:pPr>
        <w:tabs>
          <w:tab w:val="num" w:pos="5250"/>
        </w:tabs>
        <w:ind w:left="5250" w:hanging="360"/>
      </w:pPr>
    </w:lvl>
    <w:lvl w:ilvl="8" w:tplc="0C0A001B" w:tentative="1">
      <w:start w:val="1"/>
      <w:numFmt w:val="lowerRoman"/>
      <w:lvlText w:val="%9."/>
      <w:lvlJc w:val="right"/>
      <w:pPr>
        <w:tabs>
          <w:tab w:val="num" w:pos="5970"/>
        </w:tabs>
        <w:ind w:left="5970" w:hanging="180"/>
      </w:pPr>
    </w:lvl>
  </w:abstractNum>
  <w:num w:numId="1">
    <w:abstractNumId w:val="5"/>
  </w:num>
  <w:num w:numId="2">
    <w:abstractNumId w:val="14"/>
  </w:num>
  <w:num w:numId="3">
    <w:abstractNumId w:val="8"/>
  </w:num>
  <w:num w:numId="4">
    <w:abstractNumId w:val="4"/>
  </w:num>
  <w:num w:numId="5">
    <w:abstractNumId w:val="11"/>
  </w:num>
  <w:num w:numId="6">
    <w:abstractNumId w:val="9"/>
  </w:num>
  <w:num w:numId="7">
    <w:abstractNumId w:val="10"/>
  </w:num>
  <w:num w:numId="8">
    <w:abstractNumId w:val="13"/>
  </w:num>
  <w:num w:numId="9">
    <w:abstractNumId w:val="2"/>
  </w:num>
  <w:num w:numId="10">
    <w:abstractNumId w:val="6"/>
  </w:num>
  <w:num w:numId="11">
    <w:abstractNumId w:val="15"/>
  </w:num>
  <w:num w:numId="12">
    <w:abstractNumId w:val="3"/>
  </w:num>
  <w:num w:numId="13">
    <w:abstractNumId w:val="1"/>
  </w:num>
  <w:num w:numId="14">
    <w:abstractNumId w:val="0"/>
  </w:num>
  <w:num w:numId="15">
    <w:abstractNumId w:val="7"/>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4B5"/>
    <w:rsid w:val="00006C7D"/>
    <w:rsid w:val="000915E6"/>
    <w:rsid w:val="000D04B5"/>
    <w:rsid w:val="0015675A"/>
    <w:rsid w:val="001A4680"/>
    <w:rsid w:val="00202B1C"/>
    <w:rsid w:val="002B7DDD"/>
    <w:rsid w:val="002D3A43"/>
    <w:rsid w:val="003B2A47"/>
    <w:rsid w:val="00414B4C"/>
    <w:rsid w:val="0043731B"/>
    <w:rsid w:val="004826D3"/>
    <w:rsid w:val="00514AFD"/>
    <w:rsid w:val="005B3146"/>
    <w:rsid w:val="005C78DF"/>
    <w:rsid w:val="00645126"/>
    <w:rsid w:val="0066070C"/>
    <w:rsid w:val="00670A05"/>
    <w:rsid w:val="00700C7F"/>
    <w:rsid w:val="00755CC1"/>
    <w:rsid w:val="007B1C60"/>
    <w:rsid w:val="00817703"/>
    <w:rsid w:val="00826BA3"/>
    <w:rsid w:val="00877162"/>
    <w:rsid w:val="00894438"/>
    <w:rsid w:val="008E2470"/>
    <w:rsid w:val="00A74775"/>
    <w:rsid w:val="00B16609"/>
    <w:rsid w:val="00C03558"/>
    <w:rsid w:val="00CF6C3C"/>
    <w:rsid w:val="00D039BE"/>
    <w:rsid w:val="00DE322B"/>
    <w:rsid w:val="00E67732"/>
    <w:rsid w:val="00E96734"/>
    <w:rsid w:val="00F422EC"/>
    <w:rsid w:val="00F56D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2E499"/>
  <w15:docId w15:val="{0F8B0F23-752D-7C42-A4C6-DD436AB00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 w:right="48" w:hanging="7"/>
      <w:jc w:val="both"/>
    </w:pPr>
    <w:rPr>
      <w:rFonts w:ascii="Aptos" w:eastAsia="Aptos" w:hAnsi="Aptos" w:cs="Aptos"/>
      <w:color w:val="000000"/>
    </w:rPr>
  </w:style>
  <w:style w:type="paragraph" w:styleId="Ttulo1">
    <w:name w:val="heading 1"/>
    <w:next w:val="Normal"/>
    <w:link w:val="Ttulo1Car"/>
    <w:uiPriority w:val="9"/>
    <w:qFormat/>
    <w:pPr>
      <w:keepNext/>
      <w:keepLines/>
      <w:spacing w:after="0" w:line="259" w:lineRule="auto"/>
      <w:ind w:left="10" w:hanging="10"/>
      <w:jc w:val="center"/>
      <w:outlineLvl w:val="0"/>
    </w:pPr>
    <w:rPr>
      <w:rFonts w:ascii="Aptos" w:eastAsia="Aptos" w:hAnsi="Aptos" w:cs="Aptos"/>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ptos" w:eastAsia="Aptos" w:hAnsi="Aptos" w:cs="Aptos"/>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iedepgina">
    <w:name w:val="footer"/>
    <w:basedOn w:val="Normal"/>
    <w:link w:val="PiedepginaCar"/>
    <w:uiPriority w:val="99"/>
    <w:unhideWhenUsed/>
    <w:rsid w:val="006451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45126"/>
    <w:rPr>
      <w:rFonts w:ascii="Aptos" w:eastAsia="Aptos" w:hAnsi="Aptos" w:cs="Aptos"/>
      <w:color w:val="000000"/>
    </w:rPr>
  </w:style>
  <w:style w:type="character" w:styleId="Nmerodepgina">
    <w:name w:val="page number"/>
    <w:basedOn w:val="Fuentedeprrafopredeter"/>
    <w:uiPriority w:val="99"/>
    <w:semiHidden/>
    <w:unhideWhenUsed/>
    <w:rsid w:val="00645126"/>
  </w:style>
  <w:style w:type="table" w:styleId="Tablaconcuadrcula">
    <w:name w:val="Table Grid"/>
    <w:basedOn w:val="Tablanormal"/>
    <w:uiPriority w:val="39"/>
    <w:rsid w:val="003B2A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v3um">
    <w:name w:val="uv3um"/>
    <w:basedOn w:val="Fuentedeprrafopredeter"/>
    <w:rsid w:val="004826D3"/>
  </w:style>
  <w:style w:type="character" w:styleId="nfasis">
    <w:name w:val="Emphasis"/>
    <w:basedOn w:val="Fuentedeprrafopredeter"/>
    <w:uiPriority w:val="20"/>
    <w:qFormat/>
    <w:rsid w:val="004826D3"/>
    <w:rPr>
      <w:i/>
      <w:iCs/>
    </w:rPr>
  </w:style>
  <w:style w:type="paragraph" w:styleId="Textonotapie">
    <w:name w:val="footnote text"/>
    <w:basedOn w:val="Normal"/>
    <w:link w:val="TextonotapieCar"/>
    <w:uiPriority w:val="99"/>
    <w:semiHidden/>
    <w:unhideWhenUsed/>
    <w:rsid w:val="004826D3"/>
    <w:pPr>
      <w:spacing w:after="0" w:line="240" w:lineRule="auto"/>
      <w:ind w:left="0" w:right="0" w:firstLine="0"/>
      <w:jc w:val="left"/>
    </w:pPr>
    <w:rPr>
      <w:rFonts w:asciiTheme="minorHAnsi" w:eastAsiaTheme="minorHAnsi" w:hAnsiTheme="minorHAnsi" w:cstheme="minorBidi"/>
      <w:color w:val="auto"/>
      <w:kern w:val="0"/>
      <w:sz w:val="20"/>
      <w:szCs w:val="20"/>
      <w:lang w:eastAsia="en-US"/>
      <w14:ligatures w14:val="none"/>
    </w:rPr>
  </w:style>
  <w:style w:type="character" w:customStyle="1" w:styleId="TextonotapieCar">
    <w:name w:val="Texto nota pie Car"/>
    <w:basedOn w:val="Fuentedeprrafopredeter"/>
    <w:link w:val="Textonotapie"/>
    <w:uiPriority w:val="99"/>
    <w:semiHidden/>
    <w:rsid w:val="004826D3"/>
    <w:rPr>
      <w:rFonts w:eastAsiaTheme="minorHAnsi"/>
      <w:kern w:val="0"/>
      <w:sz w:val="20"/>
      <w:szCs w:val="20"/>
      <w:lang w:eastAsia="en-US"/>
      <w14:ligatures w14:val="none"/>
    </w:rPr>
  </w:style>
  <w:style w:type="character" w:styleId="Refdenotaalpie">
    <w:name w:val="footnote reference"/>
    <w:basedOn w:val="Fuentedeprrafopredeter"/>
    <w:uiPriority w:val="99"/>
    <w:semiHidden/>
    <w:unhideWhenUsed/>
    <w:rsid w:val="004826D3"/>
    <w:rPr>
      <w:vertAlign w:val="superscript"/>
    </w:rPr>
  </w:style>
  <w:style w:type="character" w:customStyle="1" w:styleId="apple-converted-space">
    <w:name w:val="apple-converted-space"/>
    <w:basedOn w:val="Fuentedeprrafopredeter"/>
    <w:rsid w:val="004826D3"/>
  </w:style>
  <w:style w:type="paragraph" w:styleId="NormalWeb">
    <w:name w:val="Normal (Web)"/>
    <w:basedOn w:val="Normal"/>
    <w:uiPriority w:val="99"/>
    <w:unhideWhenUsed/>
    <w:rsid w:val="004826D3"/>
    <w:pPr>
      <w:spacing w:before="100" w:beforeAutospacing="1" w:after="100" w:afterAutospacing="1" w:line="240" w:lineRule="auto"/>
      <w:ind w:left="0" w:right="0" w:firstLine="0"/>
      <w:jc w:val="left"/>
    </w:pPr>
    <w:rPr>
      <w:rFonts w:ascii="Times New Roman" w:eastAsia="Times New Roman" w:hAnsi="Times New Roman" w:cs="Times New Roman"/>
      <w:color w:val="auto"/>
      <w:kern w:val="0"/>
      <w14:ligatures w14:val="none"/>
    </w:rPr>
  </w:style>
  <w:style w:type="character" w:customStyle="1" w:styleId="Ninguno">
    <w:name w:val="Ninguno"/>
    <w:rsid w:val="004826D3"/>
  </w:style>
  <w:style w:type="paragraph" w:customStyle="1" w:styleId="Default">
    <w:name w:val="Default"/>
    <w:rsid w:val="004826D3"/>
    <w:pPr>
      <w:autoSpaceDE w:val="0"/>
      <w:autoSpaceDN w:val="0"/>
      <w:adjustRightInd w:val="0"/>
      <w:spacing w:after="0" w:line="240" w:lineRule="auto"/>
    </w:pPr>
    <w:rPr>
      <w:rFonts w:ascii="Arial" w:eastAsiaTheme="minorHAnsi" w:hAnsi="Arial" w:cs="Arial"/>
      <w:color w:val="000000"/>
      <w:kern w:val="0"/>
      <w:lang w:eastAsia="en-US"/>
      <w14:ligatures w14:val="none"/>
    </w:rPr>
  </w:style>
  <w:style w:type="paragraph" w:styleId="Puesto">
    <w:name w:val="Title"/>
    <w:basedOn w:val="Normal"/>
    <w:next w:val="Normal"/>
    <w:link w:val="PuestoCar"/>
    <w:uiPriority w:val="10"/>
    <w:qFormat/>
    <w:rsid w:val="001A4680"/>
    <w:pPr>
      <w:spacing w:after="0" w:line="240" w:lineRule="auto"/>
      <w:ind w:left="0" w:right="0" w:firstLine="0"/>
      <w:contextualSpacing/>
      <w:jc w:val="left"/>
    </w:pPr>
    <w:rPr>
      <w:rFonts w:asciiTheme="majorHAnsi" w:eastAsiaTheme="majorEastAsia" w:hAnsiTheme="majorHAnsi" w:cstheme="majorBidi"/>
      <w:color w:val="auto"/>
      <w:spacing w:val="-10"/>
      <w:kern w:val="28"/>
      <w:sz w:val="56"/>
      <w:szCs w:val="56"/>
      <w:lang w:eastAsia="en-US"/>
      <w14:ligatures w14:val="none"/>
    </w:rPr>
  </w:style>
  <w:style w:type="character" w:customStyle="1" w:styleId="PuestoCar">
    <w:name w:val="Puesto Car"/>
    <w:basedOn w:val="Fuentedeprrafopredeter"/>
    <w:link w:val="Puesto"/>
    <w:uiPriority w:val="10"/>
    <w:rsid w:val="001A4680"/>
    <w:rPr>
      <w:rFonts w:asciiTheme="majorHAnsi" w:eastAsiaTheme="majorEastAsia" w:hAnsiTheme="majorHAnsi" w:cstheme="majorBidi"/>
      <w:spacing w:val="-10"/>
      <w:kern w:val="28"/>
      <w:sz w:val="56"/>
      <w:szCs w:val="56"/>
      <w:lang w:eastAsia="en-US"/>
      <w14:ligatures w14:val="none"/>
    </w:rPr>
  </w:style>
  <w:style w:type="paragraph" w:styleId="Prrafodelista">
    <w:name w:val="List Paragraph"/>
    <w:basedOn w:val="Normal"/>
    <w:uiPriority w:val="34"/>
    <w:qFormat/>
    <w:rsid w:val="001A4680"/>
    <w:pPr>
      <w:spacing w:after="160" w:line="259" w:lineRule="auto"/>
      <w:ind w:left="720" w:right="0" w:firstLine="0"/>
      <w:contextualSpacing/>
      <w:jc w:val="left"/>
    </w:pPr>
    <w:rPr>
      <w:rFonts w:asciiTheme="minorHAnsi" w:eastAsiaTheme="minorHAnsi" w:hAnsiTheme="minorHAnsi" w:cstheme="minorBidi"/>
      <w:color w:val="auto"/>
      <w:kern w:val="0"/>
      <w:sz w:val="22"/>
      <w:szCs w:val="22"/>
      <w:lang w:eastAsia="en-US"/>
      <w14:ligatures w14:val="none"/>
    </w:rPr>
  </w:style>
  <w:style w:type="paragraph" w:styleId="Textoindependiente">
    <w:name w:val="Body Text"/>
    <w:basedOn w:val="Normal"/>
    <w:link w:val="TextoindependienteCar"/>
    <w:rsid w:val="001A4680"/>
    <w:pPr>
      <w:spacing w:after="0" w:line="480" w:lineRule="atLeast"/>
      <w:ind w:left="0" w:right="0" w:firstLine="0"/>
    </w:pPr>
    <w:rPr>
      <w:rFonts w:ascii="Times New Roman" w:eastAsia="Times New Roman" w:hAnsi="Times New Roman" w:cs="Times New Roman"/>
      <w:snapToGrid w:val="0"/>
      <w:color w:val="auto"/>
      <w:kern w:val="0"/>
      <w:sz w:val="20"/>
      <w:szCs w:val="20"/>
      <w:lang w:val="es-ES" w:eastAsia="es-ES"/>
      <w14:ligatures w14:val="none"/>
    </w:rPr>
  </w:style>
  <w:style w:type="character" w:customStyle="1" w:styleId="TextoindependienteCar">
    <w:name w:val="Texto independiente Car"/>
    <w:basedOn w:val="Fuentedeprrafopredeter"/>
    <w:link w:val="Textoindependiente"/>
    <w:rsid w:val="001A4680"/>
    <w:rPr>
      <w:rFonts w:ascii="Times New Roman" w:eastAsia="Times New Roman" w:hAnsi="Times New Roman" w:cs="Times New Roman"/>
      <w:snapToGrid w:val="0"/>
      <w:kern w:val="0"/>
      <w:sz w:val="20"/>
      <w:szCs w:val="20"/>
      <w:lang w:val="es-ES" w:eastAsia="es-ES"/>
      <w14:ligatures w14:val="none"/>
    </w:rPr>
  </w:style>
  <w:style w:type="paragraph" w:styleId="Textoindependiente3">
    <w:name w:val="Body Text 3"/>
    <w:basedOn w:val="Normal"/>
    <w:link w:val="Textoindependiente3Car"/>
    <w:uiPriority w:val="99"/>
    <w:unhideWhenUsed/>
    <w:rsid w:val="001A4680"/>
    <w:pPr>
      <w:spacing w:after="120" w:line="240" w:lineRule="auto"/>
      <w:ind w:left="0" w:right="0" w:firstLine="0"/>
      <w:jc w:val="left"/>
    </w:pPr>
    <w:rPr>
      <w:rFonts w:ascii="Times New Roman" w:eastAsia="Times New Roman" w:hAnsi="Times New Roman" w:cs="Times New Roman"/>
      <w:color w:val="auto"/>
      <w:kern w:val="0"/>
      <w:sz w:val="16"/>
      <w:szCs w:val="16"/>
      <w:lang w:val="es-ES" w:eastAsia="es-ES"/>
      <w14:ligatures w14:val="none"/>
    </w:rPr>
  </w:style>
  <w:style w:type="character" w:customStyle="1" w:styleId="Textoindependiente3Car">
    <w:name w:val="Texto independiente 3 Car"/>
    <w:basedOn w:val="Fuentedeprrafopredeter"/>
    <w:link w:val="Textoindependiente3"/>
    <w:uiPriority w:val="99"/>
    <w:rsid w:val="001A4680"/>
    <w:rPr>
      <w:rFonts w:ascii="Times New Roman" w:eastAsia="Times New Roman" w:hAnsi="Times New Roman" w:cs="Times New Roman"/>
      <w:kern w:val="0"/>
      <w:sz w:val="16"/>
      <w:szCs w:val="16"/>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3137</Words>
  <Characters>17256</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Armando Mendez Gutierrez</dc:creator>
  <cp:keywords/>
  <cp:lastModifiedBy>Junta de Gobierno</cp:lastModifiedBy>
  <cp:revision>2</cp:revision>
  <dcterms:created xsi:type="dcterms:W3CDTF">2025-10-01T15:52:00Z</dcterms:created>
  <dcterms:modified xsi:type="dcterms:W3CDTF">2025-10-01T15:52:00Z</dcterms:modified>
</cp:coreProperties>
</file>